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610"/>
        <w:gridCol w:w="3115"/>
        <w:gridCol w:w="6514"/>
      </w:tblGrid>
      <w:tr>
        <w:trPr>
          <w:trHeight w:val="302"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Ходатайство об установлении публичного сервитута</w:t>
            </w:r>
          </w:p>
        </w:tc>
      </w:tr>
      <w:tr>
        <w:trPr>
          <w:trHeight w:val="264" w:hRule="exact"/>
        </w:trPr>
        <w:tc>
          <w:tcPr>
            <w:vMerge w:val="restart"/>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1</w:t>
            </w: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Администрация муниципального района «Магарамкентский район» Республики Дагестан</w:t>
            </w:r>
          </w:p>
        </w:tc>
      </w:tr>
      <w:tr>
        <w:trPr>
          <w:trHeight w:val="288" w:hRule="exact"/>
        </w:trPr>
        <w:tc>
          <w:tcPr>
            <w:vMerge/>
            <w:tcBorders>
              <w:left w:val="single" w:sz="4"/>
            </w:tcBorders>
            <w:shd w:val="clear" w:color="auto" w:fill="FFFFFF"/>
            <w:vAlign w:val="top"/>
          </w:tcPr>
          <w:p>
            <w:pP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(наименование органа, принимающего решение об установлении публичного сервитута)</w:t>
            </w:r>
          </w:p>
        </w:tc>
      </w:tr>
      <w:tr>
        <w:trPr>
          <w:trHeight w:val="56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2</w:t>
            </w: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Сведения о лице, представившем ходатайство об установлении публичного сервитута (далее - заявитель):</w:t>
            </w:r>
          </w:p>
        </w:tc>
      </w:tr>
      <w:tr>
        <w:trPr>
          <w:trHeight w:val="56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2.1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Полное наименование</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Общество с ограниченной ответственностью «Газпром газификация»</w:t>
            </w:r>
          </w:p>
        </w:tc>
      </w:tr>
      <w:tr>
        <w:trPr>
          <w:trHeight w:val="85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2.2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Сокращенное наименование (при наличии)</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ООО «Газпром газификация»</w:t>
            </w:r>
          </w:p>
        </w:tc>
      </w:tr>
      <w:tr>
        <w:trPr>
          <w:trHeight w:val="571"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2.3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Организационно-правовая форма</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Общество с ограниченной ответственностью</w:t>
            </w:r>
          </w:p>
        </w:tc>
      </w:tr>
      <w:tr>
        <w:trPr>
          <w:trHeight w:val="112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2.4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Почтовый адрес (индекс, субъект Российской Федерации, населенный пункт, улица, дом)</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194044, г. Санкт-Петербург, вн. тер. г. Муниципальный округ Сампсониевское, пр-кт Большой Сампсониевский, д. 60, литера А.</w:t>
            </w:r>
          </w:p>
        </w:tc>
      </w:tr>
      <w:tr>
        <w:trPr>
          <w:trHeight w:val="451"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2.5</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Адрес электронной почты</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fldChar w:fldCharType="begin"/>
            </w:r>
            <w:r>
              <w:rPr/>
              <w:instrText> HYPERLINK "mailto:info@eoggazprom.ru" </w:instrText>
            </w:r>
            <w:r>
              <w:fldChar w:fldCharType="separate"/>
            </w:r>
            <w:r>
              <w:rPr>
                <w:color w:val="000000"/>
                <w:spacing w:val="0"/>
                <w:w w:val="100"/>
                <w:position w:val="0"/>
                <w:sz w:val="24"/>
                <w:szCs w:val="24"/>
              </w:rPr>
              <w:t>info@eoggazprom.ru</w:t>
            </w:r>
            <w:r>
              <w:fldChar w:fldCharType="end"/>
            </w:r>
          </w:p>
        </w:tc>
      </w:tr>
      <w:tr>
        <w:trPr>
          <w:trHeight w:val="293"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2.6</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ОГРН</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1217800107744</w:t>
            </w:r>
          </w:p>
        </w:tc>
      </w:tr>
      <w:tr>
        <w:trPr>
          <w:trHeight w:val="29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2.7</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ИНН</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7813655197</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3</w:t>
            </w: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Сведения о представителе заявителя:</w:t>
            </w:r>
          </w:p>
        </w:tc>
      </w:tr>
      <w:tr>
        <w:trPr>
          <w:trHeight w:val="341" w:hRule="exact"/>
        </w:trPr>
        <w:tc>
          <w:tcPr>
            <w:vMerge w:val="restart"/>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3.1</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Фамилия</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Мальсагов</w:t>
            </w:r>
          </w:p>
        </w:tc>
      </w:tr>
      <w:tr>
        <w:trPr>
          <w:trHeight w:val="34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Имя</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Иса</w:t>
            </w:r>
          </w:p>
        </w:tc>
      </w:tr>
      <w:tr>
        <w:trPr>
          <w:trHeight w:val="33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Отчество (при наличии)</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Абдурахманови ч</w:t>
            </w:r>
          </w:p>
        </w:tc>
      </w:tr>
      <w:tr>
        <w:trPr>
          <w:trHeight w:val="73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3.2</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rPr>
              <w:t>Адрес электронной почты (при наличии)</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fldChar w:fldCharType="begin"/>
            </w:r>
            <w:r>
              <w:rPr/>
              <w:instrText> HYPERLINK "mailto:gsp@gsp.gazprom-investgaz.ru" </w:instrText>
            </w:r>
            <w:r>
              <w:fldChar w:fldCharType="separate"/>
            </w:r>
            <w:r>
              <w:rPr>
                <w:color w:val="000000"/>
                <w:spacing w:val="0"/>
                <w:w w:val="100"/>
                <w:position w:val="0"/>
                <w:sz w:val="24"/>
                <w:szCs w:val="24"/>
              </w:rPr>
              <w:t>gsp@gsp.gazprom-investgaz.ru</w:t>
            </w:r>
            <w:r>
              <w:fldChar w:fldCharType="end"/>
            </w:r>
            <w:r>
              <w:rPr>
                <w:color w:val="000000"/>
                <w:spacing w:val="0"/>
                <w:w w:val="100"/>
                <w:position w:val="0"/>
                <w:sz w:val="24"/>
                <w:szCs w:val="24"/>
              </w:rPr>
              <w:t xml:space="preserve">, </w:t>
            </w:r>
            <w:r>
              <w:fldChar w:fldCharType="begin"/>
            </w:r>
            <w:r>
              <w:rPr/>
              <w:instrText> HYPERLINK "mailto:E.Muratov@eoggazprom.ru" </w:instrText>
            </w:r>
            <w:r>
              <w:fldChar w:fldCharType="separate"/>
            </w:r>
            <w:r>
              <w:rPr>
                <w:color w:val="000000"/>
                <w:spacing w:val="0"/>
                <w:w w:val="100"/>
                <w:position w:val="0"/>
                <w:sz w:val="24"/>
                <w:szCs w:val="24"/>
              </w:rPr>
              <w:t>E.Muratov@eoggazprom.ru</w:t>
            </w:r>
            <w:r>
              <w:fldChar w:fldCharType="end"/>
            </w:r>
            <w:r>
              <w:rPr>
                <w:color w:val="000000"/>
                <w:spacing w:val="0"/>
                <w:w w:val="100"/>
                <w:position w:val="0"/>
                <w:sz w:val="24"/>
                <w:szCs w:val="24"/>
              </w:rPr>
              <w:t>.</w:t>
            </w:r>
          </w:p>
        </w:tc>
      </w:tr>
      <w:tr>
        <w:trPr>
          <w:trHeight w:val="36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3.3</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Телефон</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+7 (87934) 5-54-31, доб. 114; +7 (812) 613-33-00, доб. 99882</w:t>
            </w:r>
          </w:p>
        </w:tc>
      </w:tr>
      <w:tr>
        <w:trPr>
          <w:trHeight w:val="1397"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3.4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Наименование и реквизиты документа, подтверждающего полномочия представителя заявителя</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sz w:val="24"/>
                <w:szCs w:val="24"/>
              </w:rPr>
              <w:t>доверенность от 01.08.2023 серия 78 АВ номер 3335754, удостоверена Бых Ириной Ивановной, нотариусом нотариального округа Санкт-Петербурга, зарегистрирована в реестре за номером 78/688-н/78-2023-7-539</w:t>
            </w:r>
          </w:p>
        </w:tc>
      </w:tr>
      <w:tr>
        <w:trPr>
          <w:trHeight w:val="3053"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4</w:t>
            </w: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sz w:val="24"/>
                <w:szCs w:val="24"/>
              </w:rPr>
              <w:t xml:space="preserve">Прошу установить публичный сервитут в отношении земель и (или) земельного участка (земельных участков) в целях (указываются цели, предусмотренные статьей 39.37 Земельного кодекса Российской Федерации или статьями 3.6, 3.9 Федерального закона от 25 октября 2001 г. </w:t>
            </w:r>
            <w:r>
              <w:rPr>
                <w:color w:val="000000"/>
                <w:spacing w:val="0"/>
                <w:w w:val="100"/>
                <w:position w:val="0"/>
                <w:sz w:val="24"/>
                <w:szCs w:val="24"/>
              </w:rPr>
              <w:t xml:space="preserve">N </w:t>
            </w:r>
            <w:r>
              <w:rPr>
                <w:color w:val="000000"/>
                <w:spacing w:val="0"/>
                <w:w w:val="100"/>
                <w:position w:val="0"/>
                <w:sz w:val="24"/>
                <w:szCs w:val="24"/>
              </w:rPr>
              <w:t xml:space="preserve">137-ФЗ «О введении в действие Земельного кодекса Российской Федерации»): складирования строительных и иных материалов, возведения некапитальных строений, сооружений (включая ограждения, бытовки, навесы) и (или) размещения строительной техники, которые необходимы для обеспечения строительства линейного объекта системы газоснабжения и его неотъемлемых технологических частей регионального значения </w:t>
            </w:r>
            <w:r>
              <w:rPr>
                <w:b/>
                <w:bCs/>
                <w:color w:val="000000"/>
                <w:spacing w:val="0"/>
                <w:w w:val="100"/>
                <w:position w:val="0"/>
                <w:sz w:val="24"/>
                <w:szCs w:val="24"/>
              </w:rPr>
              <w:t xml:space="preserve">«Газопровод межпоселковый ГРС Ахты (Докузпаринский район) к н.п. Мака-Казмаляр - н.п. Тарах Магарамкентского района Республики Дагестан», </w:t>
            </w:r>
            <w:r>
              <w:rPr>
                <w:color w:val="000000"/>
                <w:spacing w:val="0"/>
                <w:w w:val="100"/>
                <w:position w:val="0"/>
                <w:sz w:val="24"/>
                <w:szCs w:val="24"/>
              </w:rPr>
              <w:t>в соответствии с п.2 ст.39.37 Земельного Кодекса РФ</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5</w:t>
            </w: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Испрашиваемый срок публичного сервитута: 3 (три) года</w:t>
            </w:r>
          </w:p>
        </w:tc>
      </w:tr>
      <w:tr>
        <w:trPr>
          <w:trHeight w:val="1675"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6</w:t>
            </w:r>
          </w:p>
        </w:tc>
        <w:tc>
          <w:tcPr>
            <w:gridSpan w:val="2"/>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 общий срок строительства 5 месяцев</w:t>
            </w:r>
          </w:p>
        </w:tc>
      </w:tr>
    </w:tbl>
    <w:p>
      <w:pPr>
        <w:spacing w:lineRule="exact" w:line="1"/>
        <w:rPr>
          <w:sz w:val="2"/>
          <w:szCs w:val="2"/>
        </w:rPr>
      </w:pPr>
      <w:r>
        <w:br w:type="page"/>
      </w:r>
    </w:p>
    <w:tbl>
      <w:tblPr>
        <w:tblOverlap w:val="never"/>
        <w:jc w:val="center"/>
        <w:tblLayout w:type="fixed"/>
      </w:tblPr>
      <w:tblGrid>
        <w:gridCol w:w="619"/>
        <w:gridCol w:w="3115"/>
        <w:gridCol w:w="6509"/>
      </w:tblGrid>
      <w:tr>
        <w:trPr>
          <w:trHeight w:val="574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7</w:t>
            </w: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 xml:space="preserve">Обоснование необходимости установления публичного сервитута: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линейного объекта </w:t>
            </w:r>
            <w:r>
              <w:rPr>
                <w:b/>
                <w:bCs/>
                <w:color w:val="000000"/>
                <w:spacing w:val="0"/>
                <w:w w:val="100"/>
                <w:position w:val="0"/>
                <w:sz w:val="24"/>
                <w:szCs w:val="24"/>
              </w:rPr>
              <w:t>«Газопровод межпоселковый ГРС Ахты (До кузпари некий район) к н.п. Мака-Казмаляр - н.п. Тарах Магарамкентского района Республики Дагестан».</w:t>
            </w:r>
          </w:p>
          <w:p>
            <w:pPr>
              <w:pStyle w:val="Style2"/>
              <w:keepNext w:val="0"/>
              <w:keepLines w:val="0"/>
              <w:widowControl w:val="0"/>
              <w:numPr>
                <w:ilvl w:val="0"/>
                <w:numId w:val="1"/>
              </w:numPr>
              <w:shd w:val="clear" w:color="auto" w:fill="auto"/>
              <w:tabs>
                <w:tab w:pos="389" w:val="left"/>
              </w:tabs>
              <w:bidi w:val="0"/>
              <w:spacing w:before="0" w:after="0" w:line="240" w:lineRule="auto"/>
              <w:ind w:left="0" w:right="0" w:firstLine="380"/>
              <w:jc w:val="both"/>
            </w:pPr>
            <w:r>
              <w:rPr>
                <w:color w:val="000000"/>
                <w:spacing w:val="0"/>
                <w:w w:val="100"/>
                <w:position w:val="0"/>
                <w:sz w:val="24"/>
                <w:szCs w:val="24"/>
              </w:rPr>
              <w:t>Программа развития газоснабжения и газификации Республики Дагестан на 2021-2025 г., соглашение о взаимном сотрудничестве и Договоры по газификации между администрациями регионов РФ и ПАО «Газпром», предусматривающие осуществление программы газификации в регионе; концепция участия ПАО «Газпром» в газификации регионов РФ, утвержденная Постановлением Правления ОАО «Газпром» 30.11.2009 № 57;</w:t>
            </w:r>
          </w:p>
          <w:p>
            <w:pPr>
              <w:pStyle w:val="Style2"/>
              <w:keepNext w:val="0"/>
              <w:keepLines w:val="0"/>
              <w:widowControl w:val="0"/>
              <w:numPr>
                <w:ilvl w:val="0"/>
                <w:numId w:val="1"/>
              </w:numPr>
              <w:shd w:val="clear" w:color="auto" w:fill="auto"/>
              <w:tabs>
                <w:tab w:pos="451" w:val="left"/>
              </w:tabs>
              <w:bidi w:val="0"/>
              <w:spacing w:before="0" w:after="0" w:line="240" w:lineRule="auto"/>
              <w:ind w:left="0" w:right="0" w:firstLine="380"/>
              <w:jc w:val="both"/>
            </w:pPr>
            <w:r>
              <w:rPr>
                <w:color w:val="000000"/>
                <w:spacing w:val="0"/>
                <w:w w:val="100"/>
                <w:position w:val="0"/>
                <w:sz w:val="24"/>
                <w:szCs w:val="24"/>
              </w:rPr>
              <w:t>Распоряжение Правительства РФ от 15 декабря 2021 г. № 3603-р об определении ООО «Газпром газификация» единым оператором газификации, подтверждающее право подачи ходатайства об установлении публичного сервитута;</w:t>
            </w:r>
          </w:p>
          <w:p>
            <w:pPr>
              <w:pStyle w:val="Style2"/>
              <w:keepNext w:val="0"/>
              <w:keepLines w:val="0"/>
              <w:widowControl w:val="0"/>
              <w:numPr>
                <w:ilvl w:val="0"/>
                <w:numId w:val="1"/>
              </w:numPr>
              <w:shd w:val="clear" w:color="auto" w:fill="auto"/>
              <w:tabs>
                <w:tab w:pos="533" w:val="left"/>
              </w:tabs>
              <w:bidi w:val="0"/>
              <w:spacing w:before="0" w:after="0" w:line="240" w:lineRule="auto"/>
              <w:ind w:left="0" w:right="0" w:firstLine="380"/>
              <w:jc w:val="both"/>
            </w:pPr>
            <w:r>
              <w:rPr>
                <w:color w:val="000000"/>
                <w:spacing w:val="0"/>
                <w:w w:val="100"/>
                <w:position w:val="0"/>
                <w:sz w:val="24"/>
                <w:szCs w:val="24"/>
              </w:rPr>
              <w:t>Объект внесен в СТП Постановлением Правительства Республики Дагестан от 30.06.2022 № 210 «Об утверждении схемы территориального планирования Республики Дагестан»;</w:t>
            </w:r>
          </w:p>
          <w:p>
            <w:pPr>
              <w:pStyle w:val="Style2"/>
              <w:keepNext w:val="0"/>
              <w:keepLines w:val="0"/>
              <w:widowControl w:val="0"/>
              <w:numPr>
                <w:ilvl w:val="0"/>
                <w:numId w:val="1"/>
              </w:numPr>
              <w:shd w:val="clear" w:color="auto" w:fill="auto"/>
              <w:tabs>
                <w:tab w:pos="519" w:val="left"/>
              </w:tabs>
              <w:bidi w:val="0"/>
              <w:spacing w:before="0" w:after="0" w:line="240" w:lineRule="auto"/>
              <w:ind w:left="0" w:right="0" w:firstLine="380"/>
              <w:jc w:val="both"/>
            </w:pPr>
            <w:r>
              <w:rPr>
                <w:color w:val="000000"/>
                <w:spacing w:val="0"/>
                <w:w w:val="100"/>
                <w:position w:val="0"/>
                <w:sz w:val="24"/>
                <w:szCs w:val="24"/>
              </w:rPr>
              <w:t>Обоснование необходимости установления публичного сервитута;</w:t>
            </w:r>
          </w:p>
          <w:p>
            <w:pPr>
              <w:pStyle w:val="Style2"/>
              <w:keepNext w:val="0"/>
              <w:keepLines w:val="0"/>
              <w:widowControl w:val="0"/>
              <w:numPr>
                <w:ilvl w:val="0"/>
                <w:numId w:val="1"/>
              </w:numPr>
              <w:shd w:val="clear" w:color="auto" w:fill="auto"/>
              <w:tabs>
                <w:tab w:pos="384" w:val="left"/>
              </w:tabs>
              <w:bidi w:val="0"/>
              <w:spacing w:before="0" w:after="0" w:line="240" w:lineRule="auto"/>
              <w:ind w:left="0" w:right="0" w:firstLine="380"/>
              <w:jc w:val="both"/>
            </w:pPr>
            <w:r>
              <w:rPr>
                <w:color w:val="000000"/>
                <w:spacing w:val="0"/>
                <w:w w:val="100"/>
                <w:position w:val="0"/>
                <w:sz w:val="24"/>
                <w:szCs w:val="24"/>
              </w:rPr>
              <w:t>Проект организации строительства (3019.085.П.0/0.1293-ПОС) от 2023 г., выполненный ООО «СтройГазКомплект»</w:t>
            </w:r>
          </w:p>
        </w:tc>
      </w:tr>
      <w:tr>
        <w:trPr>
          <w:trHeight w:val="441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8</w:t>
            </w: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не требуется к заполнению</w:t>
            </w:r>
          </w:p>
        </w:tc>
      </w:tr>
      <w:tr>
        <w:trPr>
          <w:trHeight w:val="902" w:hRule="exact"/>
        </w:trPr>
        <w:tc>
          <w:tcPr>
            <w:vMerge w:val="restart"/>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9</w:t>
            </w:r>
          </w:p>
        </w:tc>
        <w:tc>
          <w:tcPr>
            <w:vMerge w:val="restart"/>
            <w:tcBorders>
              <w:top w:val="single" w:sz="4"/>
              <w:left w:val="single" w:sz="4"/>
            </w:tcBorders>
            <w:shd w:val="clear" w:color="auto" w:fill="FFFFFF"/>
            <w:vAlign w:val="bottom"/>
          </w:tcPr>
          <w:p>
            <w:pPr>
              <w:pStyle w:val="Style2"/>
              <w:keepNext w:val="0"/>
              <w:keepLines w:val="0"/>
              <w:widowControl w:val="0"/>
              <w:shd w:val="clear" w:color="auto" w:fill="auto"/>
              <w:tabs>
                <w:tab w:pos="2074" w:val="left"/>
              </w:tabs>
              <w:bidi w:val="0"/>
              <w:spacing w:before="0" w:after="0" w:line="240" w:lineRule="auto"/>
              <w:ind w:left="0" w:right="0" w:firstLine="0"/>
              <w:jc w:val="center"/>
            </w:pPr>
            <w:r>
              <w:rPr>
                <w:color w:val="000000"/>
                <w:spacing w:val="0"/>
                <w:w w:val="100"/>
                <w:position w:val="0"/>
                <w:sz w:val="24"/>
                <w:szCs w:val="24"/>
              </w:rPr>
              <w:t>Кадастровые</w:t>
              <w:tab/>
              <w:t>номера</w:t>
            </w:r>
          </w:p>
          <w:p>
            <w:pPr>
              <w:pStyle w:val="Style2"/>
              <w:keepNext w:val="0"/>
              <w:keepLines w:val="0"/>
              <w:widowControl w:val="0"/>
              <w:shd w:val="clear" w:color="auto" w:fill="auto"/>
              <w:tabs>
                <w:tab w:pos="2026" w:val="left"/>
              </w:tabs>
              <w:bidi w:val="0"/>
              <w:spacing w:before="0" w:after="0" w:line="240" w:lineRule="auto"/>
              <w:ind w:left="0" w:right="0" w:firstLine="140"/>
              <w:jc w:val="both"/>
            </w:pPr>
            <w:r>
              <w:rPr>
                <w:color w:val="000000"/>
                <w:spacing w:val="0"/>
                <w:w w:val="100"/>
                <w:position w:val="0"/>
                <w:sz w:val="24"/>
                <w:szCs w:val="24"/>
              </w:rPr>
              <w:t>земельных участков (при их наличии), в отношении которых</w:t>
              <w:tab/>
              <w:t>подано</w:t>
            </w:r>
          </w:p>
          <w:p>
            <w:pPr>
              <w:pStyle w:val="Style2"/>
              <w:keepNext w:val="0"/>
              <w:keepLines w:val="0"/>
              <w:widowControl w:val="0"/>
              <w:shd w:val="clear" w:color="auto" w:fill="auto"/>
              <w:tabs>
                <w:tab w:pos="2568" w:val="left"/>
              </w:tabs>
              <w:bidi w:val="0"/>
              <w:spacing w:before="0" w:after="0" w:line="240" w:lineRule="auto"/>
              <w:ind w:left="0" w:right="0" w:firstLine="0"/>
              <w:jc w:val="center"/>
            </w:pPr>
            <w:r>
              <w:rPr>
                <w:color w:val="000000"/>
                <w:spacing w:val="0"/>
                <w:w w:val="100"/>
                <w:position w:val="0"/>
                <w:sz w:val="24"/>
                <w:szCs w:val="24"/>
              </w:rPr>
              <w:t>ходатайство</w:t>
              <w:tab/>
              <w:t>об</w:t>
            </w:r>
          </w:p>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sz w:val="24"/>
                <w:szCs w:val="24"/>
              </w:rPr>
              <w:t>установлении публичного сервитута, адреса или иное описание местоположения таких земельных участков</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color w:val="000000"/>
                <w:spacing w:val="0"/>
                <w:w w:val="100"/>
                <w:position w:val="0"/>
                <w:sz w:val="24"/>
                <w:szCs w:val="24"/>
              </w:rPr>
              <w:t>05:10:000032:1</w:t>
            </w:r>
          </w:p>
          <w:p>
            <w:pPr>
              <w:pStyle w:val="Style2"/>
              <w:keepNext w:val="0"/>
              <w:keepLines w:val="0"/>
              <w:widowControl w:val="0"/>
              <w:shd w:val="clear" w:color="auto" w:fill="auto"/>
              <w:bidi w:val="0"/>
              <w:spacing w:before="0" w:after="0" w:line="259" w:lineRule="auto"/>
              <w:ind w:left="0" w:right="0" w:firstLine="0"/>
              <w:jc w:val="center"/>
            </w:pPr>
            <w:r>
              <w:rPr>
                <w:color w:val="000000"/>
                <w:spacing w:val="0"/>
                <w:w w:val="100"/>
                <w:position w:val="0"/>
                <w:sz w:val="24"/>
                <w:szCs w:val="24"/>
              </w:rPr>
              <w:t>Республика Дагестан, Магарамкентский район, с. Мака-Казмаляр</w:t>
            </w:r>
          </w:p>
        </w:tc>
      </w:tr>
      <w:tr>
        <w:trPr>
          <w:trHeight w:val="883" w:hRule="exact"/>
        </w:trPr>
        <w:tc>
          <w:tcPr>
            <w:vMerge/>
            <w:tcBorders>
              <w:left w:val="single" w:sz="4"/>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05:10:000031:136</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Республика Дагестан, Магарамкентский район, с. Тарах</w:t>
            </w:r>
          </w:p>
        </w:tc>
      </w:tr>
      <w:tr>
        <w:trPr>
          <w:trHeight w:val="720" w:hRule="exact"/>
        </w:trPr>
        <w:tc>
          <w:tcPr>
            <w:vMerge/>
            <w:tcBorders>
              <w:left w:val="single" w:sz="4"/>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05:10:000053</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Республика Дагестан, Магарамкентский район</w:t>
            </w:r>
          </w:p>
        </w:tc>
      </w:tr>
      <w:tr>
        <w:trPr>
          <w:trHeight w:val="1930"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10</w:t>
            </w:r>
          </w:p>
        </w:tc>
        <w:tc>
          <w:tcPr>
            <w:gridSpan w:val="2"/>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со статьей 3.9 Федерального закона от 25 октября 2001 г. </w:t>
            </w:r>
            <w:r>
              <w:rPr>
                <w:color w:val="000000"/>
                <w:spacing w:val="0"/>
                <w:w w:val="100"/>
                <w:position w:val="0"/>
                <w:sz w:val="24"/>
                <w:szCs w:val="24"/>
              </w:rPr>
              <w:t xml:space="preserve">N </w:t>
            </w:r>
            <w:r>
              <w:rPr>
                <w:color w:val="000000"/>
                <w:spacing w:val="0"/>
                <w:w w:val="100"/>
                <w:position w:val="0"/>
                <w:sz w:val="24"/>
                <w:szCs w:val="24"/>
              </w:rPr>
              <w:t>137-ФЗ «О</w:t>
            </w:r>
          </w:p>
        </w:tc>
      </w:tr>
    </w:tbl>
    <w:p>
      <w:pPr>
        <w:spacing w:lineRule="exact" w:line="1"/>
        <w:rPr>
          <w:sz w:val="2"/>
          <w:szCs w:val="2"/>
        </w:rPr>
      </w:pPr>
      <w:r>
        <w:br w:type="page"/>
      </w:r>
    </w:p>
    <w:tbl>
      <w:tblPr>
        <w:tblOverlap w:val="never"/>
        <w:jc w:val="center"/>
        <w:tblLayout w:type="fixed"/>
      </w:tblPr>
      <w:tblGrid>
        <w:gridCol w:w="610"/>
        <w:gridCol w:w="6091"/>
        <w:gridCol w:w="346"/>
        <w:gridCol w:w="3202"/>
      </w:tblGrid>
      <w:tr>
        <w:trPr>
          <w:trHeight w:val="869" w:hRule="exact"/>
        </w:trPr>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sz w:val="24"/>
                <w:szCs w:val="24"/>
              </w:rPr>
              <w:t>введении в действие Земельного кодекса Российской Федерации»): не требуется к заполнению.</w:t>
            </w:r>
          </w:p>
        </w:tc>
      </w:tr>
      <w:tr>
        <w:trPr>
          <w:trHeight w:val="43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11</w:t>
            </w:r>
          </w:p>
        </w:tc>
        <w:tc>
          <w:tcPr>
            <w:gridSpan w:val="3"/>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Сведения о способах представления результатов рассмотрения ходатайства:</w:t>
            </w:r>
          </w:p>
        </w:tc>
      </w:tr>
      <w:tr>
        <w:trPr>
          <w:trHeight w:val="850" w:hRule="exact"/>
        </w:trPr>
        <w:tc>
          <w:tcPr>
            <w:vMerge w:val="restart"/>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40" w:right="0" w:firstLine="0"/>
              <w:jc w:val="left"/>
            </w:pPr>
            <w:r>
              <w:rPr>
                <w:color w:val="000000"/>
                <w:spacing w:val="0"/>
                <w:w w:val="100"/>
                <w:position w:val="0"/>
                <w:sz w:val="24"/>
                <w:szCs w:val="24"/>
              </w:rPr>
              <w:t>в виде электронного документа, который направляется уполномоченным органом заявителю посредством электронной почты</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tabs>
                <w:tab w:leader="underscore" w:pos="720" w:val="left"/>
                <w:tab w:leader="underscore" w:pos="1426" w:val="left"/>
              </w:tabs>
              <w:bidi w:val="0"/>
              <w:spacing w:before="0" w:after="0" w:line="240" w:lineRule="auto"/>
              <w:ind w:left="0" w:right="0" w:firstLine="0"/>
              <w:jc w:val="center"/>
            </w:pPr>
            <w:r>
              <w:rPr>
                <w:color w:val="000000"/>
                <w:spacing w:val="0"/>
                <w:w w:val="100"/>
                <w:position w:val="0"/>
                <w:sz w:val="24"/>
                <w:szCs w:val="24"/>
              </w:rPr>
              <w:tab/>
              <w:t>Да</w:t>
              <w:tab/>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(да/нет)</w:t>
            </w:r>
          </w:p>
        </w:tc>
      </w:tr>
      <w:tr>
        <w:trPr>
          <w:trHeight w:val="845" w:hRule="exact"/>
        </w:trPr>
        <w:tc>
          <w:tcPr>
            <w:vMerge/>
            <w:tcBorders>
              <w:left w:val="single" w:sz="4"/>
            </w:tcBorders>
            <w:shd w:val="clear" w:color="auto" w:fill="FFFFFF"/>
            <w:vAlign w:val="top"/>
          </w:tcPr>
          <w:p>
            <w:pPr/>
          </w:p>
        </w:tc>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40" w:right="0" w:firstLine="0"/>
              <w:jc w:val="left"/>
            </w:pPr>
            <w:r>
              <w:rPr>
                <w:color w:val="000000"/>
                <w:spacing w:val="0"/>
                <w:w w:val="100"/>
                <w:position w:val="0"/>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tabs>
                <w:tab w:leader="underscore" w:pos="715" w:val="left"/>
                <w:tab w:leader="underscore" w:pos="1358" w:val="left"/>
              </w:tabs>
              <w:bidi w:val="0"/>
              <w:spacing w:before="0" w:after="0" w:line="240" w:lineRule="auto"/>
              <w:ind w:left="0" w:right="0" w:firstLine="0"/>
              <w:jc w:val="center"/>
            </w:pPr>
            <w:r>
              <w:rPr>
                <w:color w:val="000000"/>
                <w:spacing w:val="0"/>
                <w:w w:val="100"/>
                <w:position w:val="0"/>
                <w:sz w:val="24"/>
                <w:szCs w:val="24"/>
              </w:rPr>
              <w:tab/>
              <w:t>да</w:t>
              <w:tab/>
            </w:r>
          </w:p>
          <w:p>
            <w:pPr>
              <w:pStyle w:val="Style2"/>
              <w:keepNext w:val="0"/>
              <w:keepLines w:val="0"/>
              <w:widowControl w:val="0"/>
              <w:shd w:val="clear" w:color="auto" w:fill="auto"/>
              <w:bidi w:val="0"/>
              <w:spacing w:before="0" w:after="0" w:line="223" w:lineRule="auto"/>
              <w:ind w:left="0" w:right="0" w:firstLine="0"/>
              <w:jc w:val="center"/>
            </w:pPr>
            <w:r>
              <w:rPr>
                <w:color w:val="000000"/>
                <w:spacing w:val="0"/>
                <w:w w:val="100"/>
                <w:position w:val="0"/>
                <w:sz w:val="24"/>
                <w:szCs w:val="24"/>
              </w:rPr>
              <w:t>(да/нет)</w:t>
            </w:r>
          </w:p>
        </w:tc>
      </w:tr>
      <w:tr>
        <w:trPr>
          <w:trHeight w:val="252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12</w:t>
            </w:r>
          </w:p>
        </w:tc>
        <w:tc>
          <w:tcPr>
            <w:gridSpan w:val="3"/>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Документы, прилагаемые к ходатайству:</w:t>
            </w:r>
          </w:p>
          <w:p>
            <w:pPr>
              <w:pStyle w:val="Style2"/>
              <w:keepNext w:val="0"/>
              <w:keepLines w:val="0"/>
              <w:widowControl w:val="0"/>
              <w:numPr>
                <w:ilvl w:val="0"/>
                <w:numId w:val="3"/>
              </w:numPr>
              <w:shd w:val="clear" w:color="auto" w:fill="auto"/>
              <w:tabs>
                <w:tab w:pos="245" w:val="left"/>
              </w:tabs>
              <w:bidi w:val="0"/>
              <w:spacing w:before="0" w:after="0" w:line="240" w:lineRule="auto"/>
              <w:ind w:left="0" w:right="0" w:firstLine="140"/>
              <w:jc w:val="both"/>
            </w:pPr>
            <w:r>
              <w:rPr>
                <w:color w:val="000000"/>
                <w:spacing w:val="0"/>
                <w:w w:val="100"/>
                <w:position w:val="0"/>
                <w:sz w:val="24"/>
                <w:szCs w:val="24"/>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форме электронного документа);</w:t>
            </w:r>
          </w:p>
          <w:p>
            <w:pPr>
              <w:pStyle w:val="Style2"/>
              <w:keepNext w:val="0"/>
              <w:keepLines w:val="0"/>
              <w:widowControl w:val="0"/>
              <w:numPr>
                <w:ilvl w:val="0"/>
                <w:numId w:val="3"/>
              </w:numPr>
              <w:shd w:val="clear" w:color="auto" w:fill="auto"/>
              <w:tabs>
                <w:tab w:pos="250" w:val="left"/>
              </w:tabs>
              <w:bidi w:val="0"/>
              <w:spacing w:before="0" w:after="0" w:line="240" w:lineRule="auto"/>
              <w:ind w:left="0" w:right="0" w:firstLine="140"/>
              <w:jc w:val="both"/>
            </w:pPr>
            <w:r>
              <w:rPr>
                <w:color w:val="000000"/>
                <w:spacing w:val="0"/>
                <w:w w:val="100"/>
                <w:position w:val="0"/>
                <w:sz w:val="24"/>
                <w:szCs w:val="24"/>
              </w:rPr>
              <w:t>Копия доверенности от 01.08.2023 серия 78 АВ номер 3335754, удостоверенная Бых Ириной Ивановной, нотариусом нотариального округа Санкт-Петербурга, зарегистрированная в реестре за номером 78/688-н/78-2023-7-539.</w:t>
            </w:r>
          </w:p>
          <w:p>
            <w:pPr>
              <w:pStyle w:val="Style2"/>
              <w:keepNext w:val="0"/>
              <w:keepLines w:val="0"/>
              <w:widowControl w:val="0"/>
              <w:numPr>
                <w:ilvl w:val="0"/>
                <w:numId w:val="3"/>
              </w:numPr>
              <w:shd w:val="clear" w:color="auto" w:fill="auto"/>
              <w:tabs>
                <w:tab w:pos="245" w:val="left"/>
              </w:tabs>
              <w:bidi w:val="0"/>
              <w:spacing w:before="0" w:after="0" w:line="240" w:lineRule="auto"/>
              <w:ind w:left="0" w:right="0" w:firstLine="0"/>
              <w:jc w:val="both"/>
            </w:pPr>
            <w:r>
              <w:rPr>
                <w:color w:val="000000"/>
                <w:spacing w:val="0"/>
                <w:w w:val="100"/>
                <w:position w:val="0"/>
                <w:sz w:val="24"/>
                <w:szCs w:val="24"/>
              </w:rPr>
              <w:t>Обоснование необходимости установления публичного сервитута.</w:t>
            </w:r>
          </w:p>
        </w:tc>
      </w:tr>
      <w:tr>
        <w:trPr>
          <w:trHeight w:val="166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13</w:t>
            </w:r>
          </w:p>
        </w:tc>
        <w:tc>
          <w:tcPr>
            <w:gridSpan w:val="3"/>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rPr>
          <w:trHeight w:val="111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14</w:t>
            </w:r>
          </w:p>
        </w:tc>
        <w:tc>
          <w:tcPr>
            <w:gridSpan w:val="3"/>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trPr>
          <w:trHeight w:val="293" w:hRule="exact"/>
        </w:trPr>
        <w:tc>
          <w:tcPr>
            <w:vMerge w:val="restart"/>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15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Подпись:</w:t>
            </w: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Дата:</w:t>
            </w:r>
          </w:p>
        </w:tc>
      </w:tr>
      <w:tr>
        <w:trPr>
          <w:trHeight w:val="1651"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Представитель по доверенности</w:t>
            </w:r>
          </w:p>
          <w:p>
            <w:pPr>
              <w:pStyle w:val="Style2"/>
              <w:keepNext w:val="0"/>
              <w:keepLines w:val="0"/>
              <w:widowControl w:val="0"/>
              <w:shd w:val="clear" w:color="auto" w:fill="auto"/>
              <w:bidi w:val="0"/>
              <w:spacing w:before="0" w:after="320" w:line="240" w:lineRule="auto"/>
              <w:ind w:left="0" w:right="0" w:firstLine="0"/>
              <w:jc w:val="left"/>
            </w:pPr>
            <w:r>
              <w:rPr>
                <w:color w:val="000000"/>
                <w:spacing w:val="0"/>
                <w:w w:val="100"/>
                <w:position w:val="0"/>
                <w:sz w:val="24"/>
                <w:szCs w:val="24"/>
              </w:rPr>
              <w:t>от01.08.2023№ДО88-н/78-2023-7-539</w:t>
            </w:r>
          </w:p>
          <w:p>
            <w:pPr>
              <w:pStyle w:val="Style2"/>
              <w:keepNext w:val="0"/>
              <w:keepLines w:val="0"/>
              <w:widowControl w:val="0"/>
              <w:shd w:val="clear" w:color="auto" w:fill="auto"/>
              <w:bidi w:val="0"/>
              <w:spacing w:before="0" w:after="0" w:line="240" w:lineRule="auto"/>
              <w:ind w:left="4280" w:right="0" w:firstLine="0"/>
              <w:jc w:val="left"/>
            </w:pPr>
            <w:r>
              <w:rPr>
                <w:color w:val="000000"/>
                <w:spacing w:val="0"/>
                <w:w w:val="100"/>
                <w:position w:val="0"/>
                <w:sz w:val="24"/>
                <w:szCs w:val="24"/>
                <w:u w:val="single"/>
              </w:rPr>
              <w:t>И.А. Мальсагов</w:t>
            </w:r>
          </w:p>
          <w:p>
            <w:pPr>
              <w:pStyle w:val="Style2"/>
              <w:keepNext w:val="0"/>
              <w:keepLines w:val="0"/>
              <w:widowControl w:val="0"/>
              <w:shd w:val="clear" w:color="auto" w:fill="auto"/>
              <w:tabs>
                <w:tab w:pos="4309" w:val="left"/>
              </w:tabs>
              <w:bidi w:val="0"/>
              <w:spacing w:before="0" w:after="160" w:line="240" w:lineRule="auto"/>
              <w:ind w:left="0" w:right="0" w:firstLine="680"/>
              <w:jc w:val="left"/>
              <w:rPr>
                <w:sz w:val="13"/>
                <w:szCs w:val="13"/>
              </w:rPr>
            </w:pPr>
            <w:r>
              <w:rPr>
                <w:rFonts w:ascii="Arial" w:eastAsia="Arial" w:hAnsi="Arial" w:cs="Arial"/>
                <w:b/>
                <w:bCs/>
                <w:color w:val="000000"/>
                <w:spacing w:val="0"/>
                <w:w w:val="100"/>
                <w:position w:val="0"/>
                <w:sz w:val="13"/>
                <w:szCs w:val="13"/>
              </w:rPr>
              <w:t>(подАись)</w:t>
              <w:tab/>
              <w:t>(инициалы, фамилия)</w:t>
            </w:r>
          </w:p>
        </w:tc>
        <w:tc>
          <w:tcPr>
            <w:gridSpan w:val="2"/>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120" w:line="240" w:lineRule="auto"/>
              <w:ind w:left="0" w:right="0" w:firstLine="860"/>
              <w:jc w:val="left"/>
              <w:rPr>
                <w:sz w:val="26"/>
                <w:szCs w:val="26"/>
              </w:rPr>
            </w:pPr>
            <w:r>
              <w:rPr>
                <w:rFonts w:ascii="Arial" w:eastAsia="Arial" w:hAnsi="Arial" w:cs="Arial"/>
                <w:color w:val="709AD3"/>
                <w:spacing w:val="0"/>
                <w:w w:val="60"/>
                <w:position w:val="0"/>
                <w:sz w:val="26"/>
                <w:szCs w:val="26"/>
              </w:rPr>
              <w:t xml:space="preserve">2 0 ФЕВ </w:t>
            </w:r>
            <w:r>
              <w:rPr>
                <w:rFonts w:ascii="Arial" w:eastAsia="Arial" w:hAnsi="Arial" w:cs="Arial"/>
                <w:color w:val="709AD3"/>
                <w:spacing w:val="0"/>
                <w:w w:val="60"/>
                <w:position w:val="0"/>
                <w:sz w:val="26"/>
                <w:szCs w:val="26"/>
              </w:rPr>
              <w:t>Z0Z4</w:t>
            </w:r>
          </w:p>
          <w:p>
            <w:pPr>
              <w:pStyle w:val="Style2"/>
              <w:keepNext w:val="0"/>
              <w:keepLines w:val="0"/>
              <w:widowControl w:val="0"/>
              <w:shd w:val="clear" w:color="auto" w:fill="auto"/>
              <w:tabs>
                <w:tab w:leader="underscore" w:pos="710" w:val="left"/>
                <w:tab w:leader="underscore" w:pos="2520" w:val="left"/>
              </w:tabs>
              <w:bidi w:val="0"/>
              <w:spacing w:before="0" w:after="0" w:line="240" w:lineRule="auto"/>
              <w:ind w:left="0" w:right="0" w:firstLine="0"/>
              <w:jc w:val="left"/>
            </w:pPr>
            <w:r>
              <w:rPr>
                <w:color w:val="000000"/>
                <w:spacing w:val="0"/>
                <w:w w:val="100"/>
                <w:position w:val="0"/>
                <w:sz w:val="24"/>
                <w:szCs w:val="24"/>
              </w:rPr>
              <w:t>«</w:t>
              <w:tab/>
              <w:t>»</w:t>
              <w:tab/>
              <w:t>2024г.</w:t>
            </w:r>
          </w:p>
        </w:tc>
      </w:tr>
    </w:tbl>
    <w:sectPr>
      <w:footnotePr>
        <w:pos w:val="pageBottom"/>
        <w:numFmt w:val="decimal"/>
        <w:numRestart w:val="continuous"/>
      </w:footnotePr>
      <w:pgSz w:w="11900" w:h="16840"/>
      <w:pgMar w:top="1045" w:right="612" w:bottom="997" w:left="1040" w:header="617" w:footer="569"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Другое_"/>
    <w:basedOn w:val="DefaultParagraphFont"/>
    <w:link w:val="Style2"/>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2">
    <w:name w:val="Другое"/>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Scanned Document</dc:title>
  <dc:subject/>
  <dc:creator/>
  <cp:keywords/>
</cp:coreProperties>
</file>