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36" w:rsidRPr="00A20AC4" w:rsidRDefault="005464EE" w:rsidP="0054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C4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5464EE" w:rsidRPr="00A20AC4" w:rsidRDefault="005464EE" w:rsidP="0054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C4">
        <w:rPr>
          <w:rFonts w:ascii="Times New Roman" w:hAnsi="Times New Roman" w:cs="Times New Roman"/>
          <w:b/>
          <w:sz w:val="28"/>
          <w:szCs w:val="28"/>
        </w:rPr>
        <w:t>по приоритетному проекту</w:t>
      </w:r>
      <w:r w:rsidR="004C2994" w:rsidRPr="00A20AC4">
        <w:rPr>
          <w:rFonts w:ascii="Times New Roman" w:hAnsi="Times New Roman" w:cs="Times New Roman"/>
          <w:b/>
          <w:sz w:val="28"/>
          <w:szCs w:val="28"/>
        </w:rPr>
        <w:t xml:space="preserve"> «Строительство торгово-логистического центра» в МР «</w:t>
      </w:r>
      <w:r w:rsidR="00CA516B" w:rsidRPr="00A20AC4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r w:rsidR="004C2994" w:rsidRPr="00A20AC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464EE" w:rsidRDefault="005464EE" w:rsidP="005464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4EE" w:rsidRDefault="005464EE" w:rsidP="00AA428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20AC4">
        <w:rPr>
          <w:rFonts w:ascii="Times New Roman" w:hAnsi="Times New Roman" w:cs="Times New Roman"/>
          <w:b/>
          <w:sz w:val="28"/>
          <w:szCs w:val="32"/>
        </w:rPr>
        <w:t>Общие сведения</w:t>
      </w:r>
    </w:p>
    <w:p w:rsidR="00A20AC4" w:rsidRPr="00A20AC4" w:rsidRDefault="00A20AC4" w:rsidP="00A20AC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3686"/>
        <w:gridCol w:w="7229"/>
      </w:tblGrid>
      <w:tr w:rsidR="005464EE" w:rsidTr="004C2994">
        <w:trPr>
          <w:trHeight w:val="465"/>
        </w:trPr>
        <w:tc>
          <w:tcPr>
            <w:tcW w:w="3686" w:type="dxa"/>
          </w:tcPr>
          <w:p w:rsidR="005464EE" w:rsidRPr="005464EE" w:rsidRDefault="004C2994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направления</w:t>
            </w:r>
          </w:p>
        </w:tc>
        <w:tc>
          <w:tcPr>
            <w:tcW w:w="7229" w:type="dxa"/>
          </w:tcPr>
          <w:p w:rsidR="005464EE" w:rsidRPr="005464EE" w:rsidRDefault="004C2994" w:rsidP="009942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Торговля, логистика и рынок сбыта</w:t>
            </w:r>
          </w:p>
        </w:tc>
      </w:tr>
      <w:tr w:rsidR="004C2994" w:rsidTr="004C2994">
        <w:trPr>
          <w:trHeight w:val="495"/>
        </w:trPr>
        <w:tc>
          <w:tcPr>
            <w:tcW w:w="3686" w:type="dxa"/>
          </w:tcPr>
          <w:p w:rsidR="004C2994" w:rsidRDefault="004C2994" w:rsidP="004C29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5464EE">
              <w:rPr>
                <w:rFonts w:ascii="Times New Roman" w:hAnsi="Times New Roman" w:cs="Times New Roman"/>
                <w:sz w:val="28"/>
                <w:szCs w:val="32"/>
              </w:rPr>
              <w:t>Обоснование приоритетного проекта</w:t>
            </w:r>
          </w:p>
        </w:tc>
        <w:tc>
          <w:tcPr>
            <w:tcW w:w="7229" w:type="dxa"/>
          </w:tcPr>
          <w:p w:rsidR="00C61239" w:rsidRDefault="004C2994" w:rsidP="004C29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Развитие торговли и потребительских рынков, является одним их приоритетов в деятельности исполнительных органов власти. Формирование развитой конкурентной рыночной среды позволяет в большей степени удовлетворять растущие с каждым годом потребности граждан в </w:t>
            </w:r>
            <w:r w:rsidR="00C61239">
              <w:rPr>
                <w:rFonts w:ascii="Times New Roman" w:hAnsi="Times New Roman" w:cs="Times New Roman"/>
                <w:sz w:val="28"/>
                <w:szCs w:val="32"/>
              </w:rPr>
              <w:t>плодоовощной продукции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а, следовательно, повышать уровень их жизни.                          </w:t>
            </w:r>
            <w:r w:rsidR="00C61239"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На сегодняшний день основные проблемы потребительского рынка в республике связаны со слабым уровнем организации торговли и торговой инфраструктуры. Что, в свою очередь, во многом определяется постоянным недостатком складских площадей и слабым уровнем развития торговой логистики. Сложившаяся ситуация во многом препятствует выходу на потребительски</w:t>
            </w:r>
            <w:r w:rsidR="00C61239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рынк</w:t>
            </w:r>
            <w:r w:rsidR="00C61239">
              <w:rPr>
                <w:rFonts w:ascii="Times New Roman" w:hAnsi="Times New Roman" w:cs="Times New Roman"/>
                <w:sz w:val="28"/>
                <w:szCs w:val="32"/>
              </w:rPr>
              <w:t>и мелких товаропроизводителей, что отрицательно сказывается на конкурентной среде этих рынков и, соответственно, на уровне удовлетворения потребностей населения</w:t>
            </w:r>
            <w:r w:rsidR="0072378B">
              <w:rPr>
                <w:rFonts w:ascii="Times New Roman" w:hAnsi="Times New Roman" w:cs="Times New Roman"/>
                <w:sz w:val="28"/>
                <w:szCs w:val="32"/>
              </w:rPr>
              <w:t xml:space="preserve"> этих городов</w:t>
            </w:r>
            <w:r w:rsidR="00C61239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C61239" w:rsidRDefault="00C61239" w:rsidP="004C29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Данная проблема накладывается на постоянно растущие потребности городов </w:t>
            </w:r>
            <w:r w:rsidR="005E7602">
              <w:rPr>
                <w:rFonts w:ascii="Times New Roman" w:hAnsi="Times New Roman" w:cs="Times New Roman"/>
                <w:sz w:val="28"/>
                <w:szCs w:val="32"/>
              </w:rPr>
              <w:t xml:space="preserve">и районов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республики</w:t>
            </w:r>
            <w:r w:rsidR="005E760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   </w:t>
            </w:r>
            <w:r w:rsidR="004C2994">
              <w:rPr>
                <w:rFonts w:ascii="Times New Roman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плодоовощной продукции, обусловленные постоянным ростом уровня потребления населения и постоянным ростом численности их населения. </w:t>
            </w:r>
          </w:p>
          <w:p w:rsidR="00C61239" w:rsidRDefault="00C61239" w:rsidP="004C29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муниципальном районе</w:t>
            </w:r>
            <w:r w:rsidR="0072378B">
              <w:rPr>
                <w:rFonts w:ascii="Times New Roman" w:hAnsi="Times New Roman" w:cs="Times New Roman"/>
                <w:sz w:val="28"/>
                <w:szCs w:val="32"/>
              </w:rPr>
              <w:t xml:space="preserve"> «Магарамкентский район»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основном развито сельскохозяйственное производство.</w:t>
            </w:r>
          </w:p>
          <w:p w:rsidR="00C61239" w:rsidRDefault="00C61239" w:rsidP="004C29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валовой продукции сельского хозяйства за 2016 год составил 3080,8 млн. рублей.</w:t>
            </w:r>
          </w:p>
          <w:p w:rsidR="001B1F01" w:rsidRDefault="00C61239" w:rsidP="004C29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Валовые сборы продукции </w:t>
            </w:r>
            <w:r w:rsidR="001B1F01">
              <w:rPr>
                <w:rFonts w:ascii="Times New Roman" w:hAnsi="Times New Roman" w:cs="Times New Roman"/>
                <w:sz w:val="28"/>
                <w:szCs w:val="32"/>
              </w:rPr>
              <w:t>растениеводства составили:</w:t>
            </w:r>
          </w:p>
          <w:p w:rsidR="001B1F01" w:rsidRDefault="001B1F01" w:rsidP="004C29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Зерновых 200 - тонн, овощей – 85000 тонн, плоды – 40000 тонн, картофеля – 96</w:t>
            </w:r>
            <w:r w:rsidR="00586A83">
              <w:rPr>
                <w:rFonts w:ascii="Times New Roman" w:hAnsi="Times New Roman" w:cs="Times New Roman"/>
                <w:sz w:val="28"/>
                <w:szCs w:val="32"/>
              </w:rPr>
              <w:t>90 тонн, винограда – 13350 тонн, что составляет 23% от общей продукции республики.</w:t>
            </w:r>
          </w:p>
          <w:p w:rsidR="001B1F01" w:rsidRDefault="001B1F01" w:rsidP="004C29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Сельхозтоваропроизводители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на сегодняшний день сталкиваются с проблемой реализации своей продукции. </w:t>
            </w:r>
          </w:p>
          <w:p w:rsidR="004C2994" w:rsidRDefault="001B1F01" w:rsidP="004C29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Для решения данной проблемы необходимо строительство торгово-логистического центра в МР «</w:t>
            </w:r>
            <w:r w:rsidR="00CA516B">
              <w:rPr>
                <w:rFonts w:ascii="Times New Roman" w:hAnsi="Times New Roman" w:cs="Times New Roman"/>
                <w:sz w:val="28"/>
                <w:szCs w:val="32"/>
              </w:rPr>
              <w:t>Магарамкентский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район».</w:t>
            </w:r>
            <w:r w:rsidR="004C2994">
              <w:rPr>
                <w:rFonts w:ascii="Times New Roman" w:hAnsi="Times New Roman" w:cs="Times New Roman"/>
                <w:sz w:val="28"/>
                <w:szCs w:val="32"/>
              </w:rPr>
              <w:t xml:space="preserve">          </w:t>
            </w:r>
          </w:p>
          <w:p w:rsidR="004C2994" w:rsidRPr="005464EE" w:rsidRDefault="004C2994" w:rsidP="004C29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464EE" w:rsidTr="004C2994">
        <w:tc>
          <w:tcPr>
            <w:tcW w:w="3686" w:type="dxa"/>
          </w:tcPr>
          <w:p w:rsidR="005464EE" w:rsidRPr="005464EE" w:rsidRDefault="0073540E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Формальные основания для инициации приоритетного проекта</w:t>
            </w:r>
          </w:p>
        </w:tc>
        <w:tc>
          <w:tcPr>
            <w:tcW w:w="7229" w:type="dxa"/>
          </w:tcPr>
          <w:p w:rsidR="001B1F01" w:rsidRPr="001B1F01" w:rsidRDefault="001B1F01" w:rsidP="001B1F01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1F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Стратегия социально-экономического развития муниципального района «Магарамкентский район» до 2025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(принята </w:t>
            </w:r>
            <w:r w:rsidRPr="001B1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решени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ем</w:t>
            </w:r>
            <w:r w:rsidRPr="001B1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Собрания депутатов муниципального района «Магарамкентский район»</w:t>
            </w:r>
          </w:p>
          <w:p w:rsidR="001B1F01" w:rsidRPr="001B1F01" w:rsidRDefault="001B1F01" w:rsidP="001B1F0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«25» декабря 2015г. №19-</w:t>
            </w:r>
            <w:r w:rsidRPr="001B1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VI</w:t>
            </w:r>
            <w:r w:rsidRPr="001B1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)</w:t>
            </w:r>
          </w:p>
          <w:p w:rsidR="005464EE" w:rsidRPr="005464EE" w:rsidRDefault="005464EE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464EE" w:rsidTr="004C2994">
        <w:tc>
          <w:tcPr>
            <w:tcW w:w="3686" w:type="dxa"/>
          </w:tcPr>
          <w:p w:rsidR="005464EE" w:rsidRPr="005464EE" w:rsidRDefault="0073540E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Связь с государственными программами Российской Федерации и государственными программами Республики Дагестан</w:t>
            </w:r>
          </w:p>
        </w:tc>
        <w:tc>
          <w:tcPr>
            <w:tcW w:w="7229" w:type="dxa"/>
          </w:tcPr>
          <w:p w:rsidR="005464EE" w:rsidRDefault="001B1F01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2013-2020 годы (Постановление правительства РФ от 14 июля 2012 года № 717; в редакции постановлений Правительства Российской Федерации от 15.07.2013 года № 598; от 15.04.2014 года № 315; от 19.12.2014 года №1421).</w:t>
            </w:r>
          </w:p>
          <w:p w:rsidR="001B1F01" w:rsidRPr="005464EE" w:rsidRDefault="001B1F01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Подпрограмма №10 «Развитие оптово-распределительных центров и инфраструктуры системы социального питания».</w:t>
            </w:r>
          </w:p>
        </w:tc>
      </w:tr>
      <w:tr w:rsidR="005464EE" w:rsidTr="004C2994">
        <w:tc>
          <w:tcPr>
            <w:tcW w:w="3686" w:type="dxa"/>
          </w:tcPr>
          <w:p w:rsidR="005464EE" w:rsidRPr="005464EE" w:rsidRDefault="001B5483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Цели муниципального приоритетного проекта</w:t>
            </w:r>
          </w:p>
        </w:tc>
        <w:tc>
          <w:tcPr>
            <w:tcW w:w="7229" w:type="dxa"/>
          </w:tcPr>
          <w:p w:rsidR="00E04337" w:rsidRDefault="00E04337" w:rsidP="00E04337">
            <w:pPr>
              <w:pStyle w:val="a3"/>
              <w:numPr>
                <w:ilvl w:val="0"/>
                <w:numId w:val="16"/>
              </w:numPr>
              <w:ind w:left="34" w:hanging="34"/>
              <w:rPr>
                <w:rFonts w:ascii="Times New Roman" w:hAnsi="Times New Roman" w:cs="Times New Roman"/>
                <w:sz w:val="28"/>
                <w:szCs w:val="32"/>
              </w:rPr>
            </w:pPr>
            <w:r w:rsidRPr="00E04337">
              <w:rPr>
                <w:rFonts w:ascii="Times New Roman" w:hAnsi="Times New Roman" w:cs="Times New Roman"/>
                <w:sz w:val="28"/>
                <w:szCs w:val="32"/>
              </w:rPr>
              <w:t xml:space="preserve">Строительство в МР «Магарамкентский район» современного торгово-логистического центра (складских площадей с соответствующей логистикой), под хранение и распределение плодоовощной продукции площадью </w:t>
            </w:r>
            <w:r w:rsidR="00CA516B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04337">
              <w:rPr>
                <w:rFonts w:ascii="Times New Roman" w:hAnsi="Times New Roman" w:cs="Times New Roman"/>
                <w:sz w:val="28"/>
                <w:szCs w:val="32"/>
              </w:rPr>
              <w:t>0 тыс. кв. м., в период до 2020 года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  <w:p w:rsidR="00E04337" w:rsidRDefault="00E04337" w:rsidP="00332F0F">
            <w:pPr>
              <w:pStyle w:val="a3"/>
              <w:numPr>
                <w:ilvl w:val="0"/>
                <w:numId w:val="16"/>
              </w:numPr>
              <w:ind w:left="34" w:hanging="34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Увеличение на </w:t>
            </w:r>
            <w:r w:rsidR="00332F0F">
              <w:rPr>
                <w:rFonts w:ascii="Times New Roman" w:hAnsi="Times New Roman" w:cs="Times New Roman"/>
                <w:sz w:val="28"/>
                <w:szCs w:val="32"/>
              </w:rPr>
              <w:t>20% к 2018 году количества товаропроизводителей по выращиванию плодоовощной продукции.</w:t>
            </w:r>
          </w:p>
          <w:p w:rsidR="00332F0F" w:rsidRPr="00E04337" w:rsidRDefault="00332F0F" w:rsidP="00586A83">
            <w:pPr>
              <w:pStyle w:val="a3"/>
              <w:numPr>
                <w:ilvl w:val="0"/>
                <w:numId w:val="16"/>
              </w:numPr>
              <w:ind w:left="34" w:hanging="34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Доведение представленности продукции республиканских мелких и средних </w:t>
            </w:r>
            <w:r w:rsidR="00586A83">
              <w:rPr>
                <w:rFonts w:ascii="Times New Roman" w:hAnsi="Times New Roman" w:cs="Times New Roman"/>
                <w:sz w:val="28"/>
                <w:szCs w:val="32"/>
              </w:rPr>
              <w:t>товаропроизводителей на региональных рынках сбыта к 2018 году до 18% общей емкости рынка, а к 2025 году довести до 43%.</w:t>
            </w:r>
          </w:p>
        </w:tc>
      </w:tr>
      <w:tr w:rsidR="005464EE" w:rsidTr="004C2994">
        <w:tc>
          <w:tcPr>
            <w:tcW w:w="3686" w:type="dxa"/>
          </w:tcPr>
          <w:p w:rsidR="005464EE" w:rsidRPr="005464EE" w:rsidRDefault="001B5483" w:rsidP="001B5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Показатели приоритетного проекта</w:t>
            </w:r>
          </w:p>
        </w:tc>
        <w:tc>
          <w:tcPr>
            <w:tcW w:w="7229" w:type="dxa"/>
          </w:tcPr>
          <w:p w:rsidR="001B5483" w:rsidRDefault="00586A83" w:rsidP="002960F2">
            <w:pPr>
              <w:pStyle w:val="a3"/>
              <w:numPr>
                <w:ilvl w:val="0"/>
                <w:numId w:val="17"/>
              </w:numPr>
              <w:ind w:left="5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Площадь вновь созданных, реконструированных и введенных в эксплуатацию площадей складских помещений, </w:t>
            </w:r>
            <w:r w:rsidR="00CA516B">
              <w:rPr>
                <w:rFonts w:ascii="Times New Roman" w:hAnsi="Times New Roman" w:cs="Times New Roman"/>
                <w:sz w:val="28"/>
                <w:szCs w:val="32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тыс. кв. м., в год</w:t>
            </w:r>
          </w:p>
          <w:p w:rsidR="00586A83" w:rsidRDefault="00586A83" w:rsidP="002960F2">
            <w:pPr>
              <w:pStyle w:val="a3"/>
              <w:numPr>
                <w:ilvl w:val="0"/>
                <w:numId w:val="17"/>
              </w:numPr>
              <w:ind w:left="5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Количество предпринимательских структур, пользующихся услугами торгово-логистического узла, 50 ед., в год</w:t>
            </w:r>
          </w:p>
          <w:p w:rsidR="00750516" w:rsidRPr="00586A83" w:rsidRDefault="00750516" w:rsidP="0072378B">
            <w:pPr>
              <w:pStyle w:val="a3"/>
              <w:numPr>
                <w:ilvl w:val="0"/>
                <w:numId w:val="17"/>
              </w:numPr>
              <w:ind w:left="5" w:firstLine="29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Объем товарооборота торгово-логистического узла, </w:t>
            </w:r>
            <w:r w:rsidR="00CA516B">
              <w:rPr>
                <w:rFonts w:ascii="Times New Roman" w:hAnsi="Times New Roman" w:cs="Times New Roman"/>
                <w:sz w:val="28"/>
                <w:szCs w:val="32"/>
              </w:rPr>
              <w:t xml:space="preserve">2000,0 </w:t>
            </w:r>
            <w:r w:rsidR="0072378B">
              <w:rPr>
                <w:rFonts w:ascii="Times New Roman" w:hAnsi="Times New Roman" w:cs="Times New Roman"/>
                <w:sz w:val="28"/>
                <w:szCs w:val="32"/>
              </w:rPr>
              <w:t>млн. руб. в год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5464EE" w:rsidTr="004C2994">
        <w:tc>
          <w:tcPr>
            <w:tcW w:w="3686" w:type="dxa"/>
          </w:tcPr>
          <w:p w:rsidR="005464EE" w:rsidRPr="005464EE" w:rsidRDefault="00196192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Способы достижения целей, основные результаты и мероприятия проекта</w:t>
            </w:r>
          </w:p>
        </w:tc>
        <w:tc>
          <w:tcPr>
            <w:tcW w:w="7229" w:type="dxa"/>
          </w:tcPr>
          <w:p w:rsidR="005864CE" w:rsidRDefault="00750516" w:rsidP="00987C32">
            <w:pPr>
              <w:ind w:left="34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Достижение поставленных целей предполагается путем строительства логистического центра</w:t>
            </w:r>
            <w:r w:rsidR="0072378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</w:t>
            </w:r>
          </w:p>
          <w:p w:rsidR="00750516" w:rsidRPr="00987C32" w:rsidRDefault="00750516" w:rsidP="00750516">
            <w:pPr>
              <w:ind w:left="34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Данный проект предполагает использование современных высокопроизводительных технологий складской логистики. В реализации проекта предполагает участие как местных (районных) производителей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продукции, так и товаропроизводителей республики. </w:t>
            </w:r>
          </w:p>
        </w:tc>
      </w:tr>
      <w:tr w:rsidR="005464EE" w:rsidTr="004C2994">
        <w:tc>
          <w:tcPr>
            <w:tcW w:w="3686" w:type="dxa"/>
          </w:tcPr>
          <w:p w:rsidR="005464EE" w:rsidRPr="005464EE" w:rsidRDefault="00196192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Стратегические риски</w:t>
            </w:r>
          </w:p>
        </w:tc>
        <w:tc>
          <w:tcPr>
            <w:tcW w:w="7229" w:type="dxa"/>
          </w:tcPr>
          <w:p w:rsidR="00196192" w:rsidRDefault="00196192" w:rsidP="002960F2">
            <w:pPr>
              <w:pStyle w:val="a3"/>
              <w:numPr>
                <w:ilvl w:val="0"/>
                <w:numId w:val="18"/>
              </w:numPr>
              <w:ind w:left="5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Ограничение объемом финансирования проекта в связи с ухудшением экономической ситуации в стране и связанное с этим замедление темпов реализации проекта. Мероприятие по предупреждению наступления риска: оптимизация этапов проекта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приоритеза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32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решении вопросов финансирования проекта.</w:t>
            </w:r>
          </w:p>
          <w:p w:rsidR="005464EE" w:rsidRPr="005464EE" w:rsidRDefault="00196192" w:rsidP="002960F2">
            <w:pPr>
              <w:pStyle w:val="a3"/>
              <w:numPr>
                <w:ilvl w:val="0"/>
                <w:numId w:val="18"/>
              </w:numPr>
              <w:ind w:left="5" w:hanging="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Смена руководства функционального заказчика проекта и связанное с этим нарушение механизма управления проектом. Мероприятие по предупреждению наступления риска: соблюдение преемственности в системе управления проектом. </w:t>
            </w:r>
          </w:p>
        </w:tc>
      </w:tr>
      <w:tr w:rsidR="005464EE" w:rsidTr="004C2994">
        <w:tc>
          <w:tcPr>
            <w:tcW w:w="3686" w:type="dxa"/>
          </w:tcPr>
          <w:p w:rsidR="005464EE" w:rsidRPr="005464EE" w:rsidRDefault="00196192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Оценка длительности приоритетного проекта</w:t>
            </w:r>
          </w:p>
        </w:tc>
        <w:tc>
          <w:tcPr>
            <w:tcW w:w="7229" w:type="dxa"/>
          </w:tcPr>
          <w:p w:rsidR="005464EE" w:rsidRPr="005464EE" w:rsidRDefault="00196192" w:rsidP="006F2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01.201</w:t>
            </w:r>
            <w:r w:rsidR="006F201E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г.-12.2020г..</w:t>
            </w:r>
          </w:p>
        </w:tc>
      </w:tr>
      <w:tr w:rsidR="00196192" w:rsidTr="004C2994">
        <w:tc>
          <w:tcPr>
            <w:tcW w:w="3686" w:type="dxa"/>
          </w:tcPr>
          <w:p w:rsidR="00196192" w:rsidRDefault="00196192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Оценка бюджета проекта</w:t>
            </w:r>
          </w:p>
        </w:tc>
        <w:tc>
          <w:tcPr>
            <w:tcW w:w="7229" w:type="dxa"/>
          </w:tcPr>
          <w:p w:rsidR="00196192" w:rsidRDefault="00CA516B" w:rsidP="00CA51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700 </w:t>
            </w:r>
            <w:r w:rsidR="000B6E1F">
              <w:rPr>
                <w:rFonts w:ascii="Times New Roman" w:hAnsi="Times New Roman" w:cs="Times New Roman"/>
                <w:sz w:val="28"/>
                <w:szCs w:val="32"/>
              </w:rPr>
              <w:t>млн. рублей (в том числе: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300 </w:t>
            </w:r>
            <w:r w:rsidR="000B6E1F">
              <w:rPr>
                <w:rFonts w:ascii="Times New Roman" w:hAnsi="Times New Roman" w:cs="Times New Roman"/>
                <w:sz w:val="28"/>
                <w:szCs w:val="32"/>
              </w:rPr>
              <w:t xml:space="preserve">млн. рублей республиканский бюджет,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400</w:t>
            </w:r>
            <w:r w:rsidR="000B6E1F">
              <w:rPr>
                <w:rFonts w:ascii="Times New Roman" w:hAnsi="Times New Roman" w:cs="Times New Roman"/>
                <w:sz w:val="28"/>
                <w:szCs w:val="32"/>
              </w:rPr>
              <w:t xml:space="preserve"> млн. рублей частные инвестиции)</w:t>
            </w:r>
          </w:p>
        </w:tc>
      </w:tr>
    </w:tbl>
    <w:p w:rsidR="00382DD9" w:rsidRDefault="00382DD9" w:rsidP="00382DD9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382DD9" w:rsidRDefault="00382DD9" w:rsidP="00E04337">
      <w:pPr>
        <w:pStyle w:val="a3"/>
        <w:numPr>
          <w:ilvl w:val="0"/>
          <w:numId w:val="16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Органы управления приоритетным проектом</w:t>
      </w:r>
    </w:p>
    <w:p w:rsidR="00382DD9" w:rsidRDefault="00382DD9" w:rsidP="00382DD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3686"/>
        <w:gridCol w:w="7229"/>
      </w:tblGrid>
      <w:tr w:rsidR="00382DD9" w:rsidTr="00332F0F">
        <w:tc>
          <w:tcPr>
            <w:tcW w:w="3686" w:type="dxa"/>
          </w:tcPr>
          <w:p w:rsidR="00382DD9" w:rsidRPr="00382DD9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82DD9">
              <w:rPr>
                <w:rFonts w:ascii="Times New Roman" w:hAnsi="Times New Roman" w:cs="Times New Roman"/>
                <w:sz w:val="28"/>
                <w:szCs w:val="32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приоритетного </w:t>
            </w:r>
            <w:r w:rsidRPr="00382DD9">
              <w:rPr>
                <w:rFonts w:ascii="Times New Roman" w:hAnsi="Times New Roman" w:cs="Times New Roman"/>
                <w:sz w:val="28"/>
                <w:szCs w:val="32"/>
              </w:rPr>
              <w:t>проекта</w:t>
            </w:r>
          </w:p>
        </w:tc>
        <w:tc>
          <w:tcPr>
            <w:tcW w:w="7229" w:type="dxa"/>
          </w:tcPr>
          <w:p w:rsidR="00382DD9" w:rsidRPr="00382DD9" w:rsidRDefault="000B6E1F" w:rsidP="000B6E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Исаев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Абдулаевич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Заместитель Председателя Правительства Республики Дагестан</w:t>
            </w:r>
          </w:p>
        </w:tc>
      </w:tr>
      <w:tr w:rsidR="00382DD9" w:rsidTr="00332F0F">
        <w:tc>
          <w:tcPr>
            <w:tcW w:w="3686" w:type="dxa"/>
          </w:tcPr>
          <w:p w:rsidR="00382DD9" w:rsidRPr="00382DD9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Функциональный заказчик</w:t>
            </w:r>
          </w:p>
        </w:tc>
        <w:tc>
          <w:tcPr>
            <w:tcW w:w="7229" w:type="dxa"/>
          </w:tcPr>
          <w:p w:rsidR="00382DD9" w:rsidRPr="00382DD9" w:rsidRDefault="000B6E1F" w:rsidP="000B6E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по предпринимательству и инвестициям Республики Дагестан </w:t>
            </w:r>
          </w:p>
        </w:tc>
      </w:tr>
      <w:tr w:rsidR="00382DD9" w:rsidTr="00332F0F">
        <w:tc>
          <w:tcPr>
            <w:tcW w:w="3686" w:type="dxa"/>
          </w:tcPr>
          <w:p w:rsidR="00382DD9" w:rsidRPr="00382DD9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Руководитель приоритетного проекта</w:t>
            </w:r>
          </w:p>
        </w:tc>
        <w:tc>
          <w:tcPr>
            <w:tcW w:w="7229" w:type="dxa"/>
          </w:tcPr>
          <w:p w:rsidR="00382DD9" w:rsidRPr="00382DD9" w:rsidRDefault="000B6E1F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Агентства по предпринимательству и инвестициям Республики Дагестан  </w:t>
            </w:r>
          </w:p>
        </w:tc>
      </w:tr>
      <w:tr w:rsidR="00382DD9" w:rsidTr="00332F0F">
        <w:tc>
          <w:tcPr>
            <w:tcW w:w="3686" w:type="dxa"/>
          </w:tcPr>
          <w:p w:rsidR="00382DD9" w:rsidRPr="00382DD9" w:rsidRDefault="006B0EB5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Перечень основных исполнителей и соисполнителей приоритетного проекта</w:t>
            </w:r>
          </w:p>
        </w:tc>
        <w:tc>
          <w:tcPr>
            <w:tcW w:w="7229" w:type="dxa"/>
          </w:tcPr>
          <w:p w:rsidR="00382DD9" w:rsidRPr="00382DD9" w:rsidRDefault="000B6E1F" w:rsidP="000B6E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по предпринимательству и инвестициям Республики Дагестан, Министерство промышленности и торговли Республики Дагестан, Администрация МР «</w:t>
            </w:r>
            <w:r w:rsidR="00CA516B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</w:tbl>
    <w:p w:rsidR="00382DD9" w:rsidRDefault="00382DD9" w:rsidP="00382DD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6B0EB5" w:rsidRDefault="006B0EB5" w:rsidP="00E04337">
      <w:pPr>
        <w:pStyle w:val="a3"/>
        <w:numPr>
          <w:ilvl w:val="0"/>
          <w:numId w:val="16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Дополнительные сведения, ограничения и допущения</w:t>
      </w:r>
    </w:p>
    <w:p w:rsidR="006B0EB5" w:rsidRDefault="006B0EB5" w:rsidP="006B0EB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3686"/>
        <w:gridCol w:w="7229"/>
      </w:tblGrid>
      <w:tr w:rsidR="006B0EB5" w:rsidTr="00332F0F">
        <w:tc>
          <w:tcPr>
            <w:tcW w:w="3686" w:type="dxa"/>
          </w:tcPr>
          <w:p w:rsidR="006B0EB5" w:rsidRPr="006B0EB5" w:rsidRDefault="006B0EB5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Ограничения</w:t>
            </w:r>
          </w:p>
        </w:tc>
        <w:tc>
          <w:tcPr>
            <w:tcW w:w="7229" w:type="dxa"/>
          </w:tcPr>
          <w:p w:rsidR="000B6E1F" w:rsidRDefault="000B6E1F" w:rsidP="002960F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Реализация проекта с привлечением исключительно отечественных подрядчиков.</w:t>
            </w:r>
          </w:p>
          <w:p w:rsidR="006B0EB5" w:rsidRPr="000B6E1F" w:rsidRDefault="000B6E1F" w:rsidP="002960F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Проведение работ в строго лимитированных условиях финансового обеспечения.</w:t>
            </w:r>
            <w:r w:rsidRPr="000B6E1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6B0EB5" w:rsidTr="00332F0F">
        <w:tc>
          <w:tcPr>
            <w:tcW w:w="3686" w:type="dxa"/>
          </w:tcPr>
          <w:p w:rsidR="006B0EB5" w:rsidRPr="006B0EB5" w:rsidRDefault="00777756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Допущения и предложения</w:t>
            </w:r>
          </w:p>
        </w:tc>
        <w:tc>
          <w:tcPr>
            <w:tcW w:w="7229" w:type="dxa"/>
          </w:tcPr>
          <w:p w:rsidR="006B0EB5" w:rsidRDefault="00A20AC4" w:rsidP="002960F2">
            <w:pPr>
              <w:pStyle w:val="a3"/>
              <w:numPr>
                <w:ilvl w:val="0"/>
                <w:numId w:val="20"/>
              </w:numPr>
              <w:ind w:left="5" w:firstLine="29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Цели проекта достижимы при уровне инфляции в течение всего проекта не более 10%.</w:t>
            </w:r>
          </w:p>
          <w:p w:rsidR="00A20AC4" w:rsidRPr="000B6E1F" w:rsidRDefault="00A20AC4" w:rsidP="002960F2">
            <w:pPr>
              <w:pStyle w:val="a3"/>
              <w:numPr>
                <w:ilvl w:val="0"/>
                <w:numId w:val="20"/>
              </w:numPr>
              <w:ind w:left="5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Цели проекта достижимы при сохранении планируемого уровня финансирования.</w:t>
            </w:r>
          </w:p>
        </w:tc>
      </w:tr>
      <w:tr w:rsidR="006B0EB5" w:rsidTr="00332F0F">
        <w:tc>
          <w:tcPr>
            <w:tcW w:w="3686" w:type="dxa"/>
          </w:tcPr>
          <w:p w:rsidR="006B0EB5" w:rsidRPr="006B0EB5" w:rsidRDefault="00777756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Дополнительная информация</w:t>
            </w:r>
          </w:p>
        </w:tc>
        <w:tc>
          <w:tcPr>
            <w:tcW w:w="7229" w:type="dxa"/>
          </w:tcPr>
          <w:p w:rsidR="009447DE" w:rsidRDefault="00A20AC4" w:rsidP="002960F2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Реализация проекта позволит снизит остроту проблемы, неоднократно </w:t>
            </w:r>
            <w:r w:rsidR="005845AF">
              <w:rPr>
                <w:rFonts w:ascii="Times New Roman" w:hAnsi="Times New Roman" w:cs="Times New Roman"/>
                <w:sz w:val="28"/>
                <w:szCs w:val="32"/>
              </w:rPr>
              <w:t xml:space="preserve">озвучивавшийся как </w:t>
            </w:r>
            <w:r w:rsidR="005845A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товаропроизводителям, так и представителями органов власти, доступа мелких и средних производителей сельскохозяйственной продукции, к рынкам сбыта, одной из причин которой выступает слабый уровень развития торгово-логистической инфраструктуры.</w:t>
            </w:r>
          </w:p>
          <w:p w:rsidR="005845AF" w:rsidRPr="006B0EB5" w:rsidRDefault="005845AF" w:rsidP="002960F2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 реализации проекта будет применен опыт субъектов Российской Федерации, зарубежный опыт торгово-логистических центров. Проект предусматривает сотрудничество со всеми заинтересованными сторонами.</w:t>
            </w:r>
          </w:p>
        </w:tc>
      </w:tr>
    </w:tbl>
    <w:p w:rsidR="005464EE" w:rsidRDefault="005464E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0"/>
          <w:szCs w:val="32"/>
        </w:rPr>
      </w:pPr>
    </w:p>
    <w:p w:rsidR="009447DE" w:rsidRP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32"/>
        </w:rPr>
      </w:pPr>
      <w:r>
        <w:rPr>
          <w:rFonts w:ascii="Times New Roman" w:hAnsi="Times New Roman" w:cs="Times New Roman"/>
          <w:b/>
          <w:sz w:val="20"/>
          <w:szCs w:val="32"/>
        </w:rPr>
        <w:t xml:space="preserve"> </w:t>
      </w:r>
    </w:p>
    <w:sectPr w:rsidR="009447DE" w:rsidRPr="009447DE" w:rsidSect="002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2A8"/>
    <w:multiLevelType w:val="hybridMultilevel"/>
    <w:tmpl w:val="EDA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8FB"/>
    <w:multiLevelType w:val="hybridMultilevel"/>
    <w:tmpl w:val="15E0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48A"/>
    <w:multiLevelType w:val="hybridMultilevel"/>
    <w:tmpl w:val="181C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A7A"/>
    <w:multiLevelType w:val="hybridMultilevel"/>
    <w:tmpl w:val="310E31C0"/>
    <w:lvl w:ilvl="0" w:tplc="3690C0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3CEA"/>
    <w:multiLevelType w:val="hybridMultilevel"/>
    <w:tmpl w:val="27626280"/>
    <w:lvl w:ilvl="0" w:tplc="390E25F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60C22"/>
    <w:multiLevelType w:val="hybridMultilevel"/>
    <w:tmpl w:val="A832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B5D0C"/>
    <w:multiLevelType w:val="hybridMultilevel"/>
    <w:tmpl w:val="4362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B13A0"/>
    <w:multiLevelType w:val="hybridMultilevel"/>
    <w:tmpl w:val="3EF0F42A"/>
    <w:lvl w:ilvl="0" w:tplc="1BB2F60A">
      <w:start w:val="1"/>
      <w:numFmt w:val="bullet"/>
      <w:lvlText w:val="*"/>
      <w:lvlJc w:val="left"/>
      <w:pPr>
        <w:ind w:left="144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13694"/>
    <w:multiLevelType w:val="hybridMultilevel"/>
    <w:tmpl w:val="9464268A"/>
    <w:lvl w:ilvl="0" w:tplc="379240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F9F5633"/>
    <w:multiLevelType w:val="hybridMultilevel"/>
    <w:tmpl w:val="25DE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E66BB"/>
    <w:multiLevelType w:val="hybridMultilevel"/>
    <w:tmpl w:val="8370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8028A"/>
    <w:multiLevelType w:val="hybridMultilevel"/>
    <w:tmpl w:val="80E6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581B"/>
    <w:multiLevelType w:val="hybridMultilevel"/>
    <w:tmpl w:val="9DAC69FE"/>
    <w:lvl w:ilvl="0" w:tplc="1BB2F60A">
      <w:start w:val="1"/>
      <w:numFmt w:val="bullet"/>
      <w:lvlText w:val="*"/>
      <w:lvlJc w:val="left"/>
      <w:pPr>
        <w:ind w:left="28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EB45D8"/>
    <w:multiLevelType w:val="hybridMultilevel"/>
    <w:tmpl w:val="DE2A6B82"/>
    <w:lvl w:ilvl="0" w:tplc="768C7C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B90543C"/>
    <w:multiLevelType w:val="hybridMultilevel"/>
    <w:tmpl w:val="BA64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470CF"/>
    <w:multiLevelType w:val="hybridMultilevel"/>
    <w:tmpl w:val="78C49892"/>
    <w:lvl w:ilvl="0" w:tplc="390E25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35ABE"/>
    <w:multiLevelType w:val="hybridMultilevel"/>
    <w:tmpl w:val="65A4B1E2"/>
    <w:lvl w:ilvl="0" w:tplc="17D21D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D5235DA"/>
    <w:multiLevelType w:val="hybridMultilevel"/>
    <w:tmpl w:val="3A9A74E6"/>
    <w:lvl w:ilvl="0" w:tplc="1BB2F60A">
      <w:start w:val="1"/>
      <w:numFmt w:val="bullet"/>
      <w:lvlText w:val="*"/>
      <w:lvlJc w:val="left"/>
      <w:pPr>
        <w:ind w:left="28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55461D3"/>
    <w:multiLevelType w:val="hybridMultilevel"/>
    <w:tmpl w:val="3168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80A4E"/>
    <w:multiLevelType w:val="hybridMultilevel"/>
    <w:tmpl w:val="8A2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E3F6C"/>
    <w:multiLevelType w:val="hybridMultilevel"/>
    <w:tmpl w:val="B11CF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4"/>
  </w:num>
  <w:num w:numId="5">
    <w:abstractNumId w:val="16"/>
  </w:num>
  <w:num w:numId="6">
    <w:abstractNumId w:val="3"/>
  </w:num>
  <w:num w:numId="7">
    <w:abstractNumId w:val="15"/>
  </w:num>
  <w:num w:numId="8">
    <w:abstractNumId w:val="4"/>
  </w:num>
  <w:num w:numId="9">
    <w:abstractNumId w:val="7"/>
  </w:num>
  <w:num w:numId="10">
    <w:abstractNumId w:val="12"/>
  </w:num>
  <w:num w:numId="11">
    <w:abstractNumId w:val="17"/>
  </w:num>
  <w:num w:numId="12">
    <w:abstractNumId w:val="20"/>
  </w:num>
  <w:num w:numId="13">
    <w:abstractNumId w:val="6"/>
  </w:num>
  <w:num w:numId="14">
    <w:abstractNumId w:val="0"/>
  </w:num>
  <w:num w:numId="15">
    <w:abstractNumId w:val="19"/>
  </w:num>
  <w:num w:numId="16">
    <w:abstractNumId w:val="5"/>
  </w:num>
  <w:num w:numId="17">
    <w:abstractNumId w:val="13"/>
  </w:num>
  <w:num w:numId="18">
    <w:abstractNumId w:val="10"/>
  </w:num>
  <w:num w:numId="19">
    <w:abstractNumId w:val="8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EC3"/>
    <w:rsid w:val="000B6E1F"/>
    <w:rsid w:val="00196192"/>
    <w:rsid w:val="001B1F01"/>
    <w:rsid w:val="001B5483"/>
    <w:rsid w:val="00217D4E"/>
    <w:rsid w:val="00226EC3"/>
    <w:rsid w:val="00270993"/>
    <w:rsid w:val="002960F2"/>
    <w:rsid w:val="00332F0F"/>
    <w:rsid w:val="00382DD9"/>
    <w:rsid w:val="00425E36"/>
    <w:rsid w:val="004C2994"/>
    <w:rsid w:val="005464EE"/>
    <w:rsid w:val="005845AF"/>
    <w:rsid w:val="005864CE"/>
    <w:rsid w:val="00586A83"/>
    <w:rsid w:val="005E7602"/>
    <w:rsid w:val="006B0EB5"/>
    <w:rsid w:val="006F201E"/>
    <w:rsid w:val="0072378B"/>
    <w:rsid w:val="0073540E"/>
    <w:rsid w:val="00750516"/>
    <w:rsid w:val="00777756"/>
    <w:rsid w:val="009447DE"/>
    <w:rsid w:val="00987C32"/>
    <w:rsid w:val="00994278"/>
    <w:rsid w:val="00A20AC4"/>
    <w:rsid w:val="00C32A12"/>
    <w:rsid w:val="00C61239"/>
    <w:rsid w:val="00CA516B"/>
    <w:rsid w:val="00CF6F5E"/>
    <w:rsid w:val="00DC7B81"/>
    <w:rsid w:val="00E04337"/>
    <w:rsid w:val="00E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A8A9-B2B6-46CA-A6F6-F9085B7D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4E"/>
  </w:style>
  <w:style w:type="paragraph" w:styleId="1">
    <w:name w:val="heading 1"/>
    <w:basedOn w:val="a"/>
    <w:link w:val="10"/>
    <w:uiPriority w:val="9"/>
    <w:qFormat/>
    <w:rsid w:val="00382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EE"/>
    <w:pPr>
      <w:ind w:left="720"/>
      <w:contextualSpacing/>
    </w:pPr>
  </w:style>
  <w:style w:type="table" w:styleId="a4">
    <w:name w:val="Table Grid"/>
    <w:basedOn w:val="a1"/>
    <w:uiPriority w:val="39"/>
    <w:rsid w:val="0054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214B-88AC-4D39-B7DA-240DAEE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Абдул</cp:lastModifiedBy>
  <cp:revision>9</cp:revision>
  <cp:lastPrinted>2017-08-24T07:54:00Z</cp:lastPrinted>
  <dcterms:created xsi:type="dcterms:W3CDTF">2017-09-07T13:53:00Z</dcterms:created>
  <dcterms:modified xsi:type="dcterms:W3CDTF">2017-09-13T06:31:00Z</dcterms:modified>
</cp:coreProperties>
</file>