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D6106F" w:rsidRPr="00973B35" w:rsidRDefault="00D6106F" w:rsidP="00973B35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bookmarkStart w:id="0" w:name="_GoBack"/>
    </w:p>
    <w:p w:rsidR="003B2102" w:rsidRPr="00973B35" w:rsidRDefault="003B2102" w:rsidP="00973B35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973B35">
        <w:rPr>
          <w:b/>
          <w:bCs/>
          <w:color w:val="000000"/>
          <w:kern w:val="36"/>
          <w:sz w:val="28"/>
          <w:szCs w:val="28"/>
        </w:rPr>
        <w:t>Утверждена стратегия, призванная обеспечить формирование основ финансово грамотного поведения населения</w:t>
      </w:r>
    </w:p>
    <w:bookmarkEnd w:id="0"/>
    <w:p w:rsidR="00973B35" w:rsidRPr="003B2102" w:rsidRDefault="00973B35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Распоряжением Правительства РФ от 25.09.2017 N 2039-р «Об утверждении Стратегии повышения финансовой грамотности в Российской Федерации на 2017 - 2023 годы» подразумевается, что финансово грамотный гражданин должен как минимум: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следить за состоянием личных финансов;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планировать свои доходы и расходы;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формировать долгосрочные сбережения и финансовую "подушку безопасности" для непредвиденных обстоятельств;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иметь представление о том, как искать и использовать необходимую финансовую информацию;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рационально выбирать финансовые услуги;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жить по средствам, избегая несоразмерных доходам долгов и неплатежей по ним;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знать и уметь отстаивать свои законные права как потребителя финансовых услуг;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быть способным распознавать признаки финансового мошенничества;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знать о рисках на рынке финансовых услуг;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знать и выполнять свои обязанности налогоплательщика;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вести финансовую подготовку к жизни на пенсии.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Важной составляющей финансово грамотного поведения является способность гражданина осуществлять долгосрочное планирование личных финансов (финансов домохозяйства) на всех этапах жизненного цикла.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Заявлено, что задачами Стратегии является: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технологий;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разработка механизмов взаимодействия государства и общества,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услуг, пенсионного обеспечения и социально ответственного поведения участников финансового рынка.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В рамках Стратегии выделяются следующие целевые группы: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обучающиеся образовательных организаций, профессиональных образовательных организаций и образовательных организаций высшего образования;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граждане с низким и средним уровнем доходов, склонные к рискованному типу финансового поведения в сложных жизненных обстоятельствах;</w:t>
      </w:r>
    </w:p>
    <w:p w:rsidR="003B2102" w:rsidRPr="003B2102" w:rsidRDefault="003B2102" w:rsidP="003B2102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B2102">
        <w:rPr>
          <w:bCs/>
          <w:color w:val="000000"/>
          <w:kern w:val="36"/>
          <w:sz w:val="28"/>
          <w:szCs w:val="28"/>
        </w:rPr>
        <w:t>граждане пенсионного и предпенсионного возраста и лица с ограниченными возможностями здоровья.</w:t>
      </w:r>
    </w:p>
    <w:p w:rsidR="00081B44" w:rsidRPr="00081B44" w:rsidRDefault="00081B44" w:rsidP="00081B44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178E"/>
    <w:rsid w:val="003179D3"/>
    <w:rsid w:val="00324107"/>
    <w:rsid w:val="00335736"/>
    <w:rsid w:val="00337283"/>
    <w:rsid w:val="00337EA3"/>
    <w:rsid w:val="00351584"/>
    <w:rsid w:val="00352791"/>
    <w:rsid w:val="003620F0"/>
    <w:rsid w:val="00363067"/>
    <w:rsid w:val="00363201"/>
    <w:rsid w:val="003709E0"/>
    <w:rsid w:val="003828EB"/>
    <w:rsid w:val="003B2102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944B4"/>
    <w:rsid w:val="00897755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73B35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106F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375F"/>
    <w:rsid w:val="00ED768E"/>
    <w:rsid w:val="00EF5426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2759"/>
    <w:rsid w:val="00F946D3"/>
    <w:rsid w:val="00F95517"/>
    <w:rsid w:val="00FA43D9"/>
    <w:rsid w:val="00FB5AF7"/>
    <w:rsid w:val="00FB7C48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587D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2022-06-28T12:00:00Z</cp:lastPrinted>
  <dcterms:created xsi:type="dcterms:W3CDTF">2022-06-28T12:01:00Z</dcterms:created>
  <dcterms:modified xsi:type="dcterms:W3CDTF">2022-06-28T12:01:00Z</dcterms:modified>
</cp:coreProperties>
</file>