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D2" w:rsidRDefault="003A3ED2" w:rsidP="003A3ED2">
      <w:pPr>
        <w:pStyle w:val="Style9"/>
        <w:widowControl/>
        <w:ind w:firstLine="709"/>
        <w:rPr>
          <w:rStyle w:val="FontStyle34"/>
          <w:b w:val="0"/>
          <w:bCs/>
          <w:sz w:val="28"/>
          <w:szCs w:val="28"/>
        </w:rPr>
      </w:pPr>
      <w:r>
        <w:rPr>
          <w:rStyle w:val="FontStyle34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  <w:proofErr w:type="spellStart"/>
      <w:r>
        <w:rPr>
          <w:rStyle w:val="FontStyle34"/>
          <w:b w:val="0"/>
          <w:bCs/>
          <w:sz w:val="28"/>
          <w:szCs w:val="28"/>
        </w:rPr>
        <w:t>Врио</w:t>
      </w:r>
      <w:proofErr w:type="spellEnd"/>
      <w:r>
        <w:rPr>
          <w:rStyle w:val="FontStyle34"/>
          <w:b w:val="0"/>
          <w:bCs/>
          <w:sz w:val="28"/>
          <w:szCs w:val="28"/>
        </w:rPr>
        <w:t xml:space="preserve"> главы администрации </w:t>
      </w:r>
    </w:p>
    <w:p w:rsid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  <w:r>
        <w:rPr>
          <w:rStyle w:val="FontStyle34"/>
          <w:b w:val="0"/>
          <w:bCs/>
          <w:sz w:val="28"/>
          <w:szCs w:val="28"/>
        </w:rPr>
        <w:t>МР «Магарамкентский район»</w:t>
      </w:r>
    </w:p>
    <w:p w:rsidR="003A3ED2" w:rsidRPr="003A3ED2" w:rsidRDefault="003A3ED2" w:rsidP="003A3ED2">
      <w:pPr>
        <w:pStyle w:val="Style9"/>
        <w:widowControl/>
        <w:ind w:firstLine="709"/>
        <w:rPr>
          <w:rStyle w:val="FontStyle34"/>
          <w:b w:val="0"/>
          <w:bCs/>
          <w:sz w:val="28"/>
          <w:szCs w:val="28"/>
          <w:u w:val="single"/>
        </w:rPr>
      </w:pPr>
      <w:r>
        <w:rPr>
          <w:rStyle w:val="FontStyle34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E38A8">
        <w:rPr>
          <w:rStyle w:val="FontStyle34"/>
          <w:b w:val="0"/>
          <w:bCs/>
          <w:sz w:val="28"/>
          <w:szCs w:val="28"/>
          <w:u w:val="single"/>
        </w:rPr>
        <w:t>«17» февраля</w:t>
      </w:r>
      <w:r w:rsidRPr="003A3ED2">
        <w:rPr>
          <w:rStyle w:val="FontStyle34"/>
          <w:b w:val="0"/>
          <w:bCs/>
          <w:sz w:val="28"/>
          <w:szCs w:val="28"/>
          <w:u w:val="single"/>
        </w:rPr>
        <w:t xml:space="preserve"> 2015 г.  </w:t>
      </w:r>
    </w:p>
    <w:p w:rsidR="003A3ED2" w:rsidRDefault="00447CE5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  <w:proofErr w:type="spellStart"/>
      <w:r>
        <w:rPr>
          <w:rStyle w:val="FontStyle34"/>
          <w:b w:val="0"/>
          <w:bCs/>
          <w:sz w:val="28"/>
          <w:szCs w:val="28"/>
        </w:rPr>
        <w:t>Г.Ж.Мурадалиев</w:t>
      </w:r>
      <w:proofErr w:type="spellEnd"/>
      <w:r>
        <w:rPr>
          <w:rStyle w:val="FontStyle34"/>
          <w:b w:val="0"/>
          <w:bCs/>
          <w:sz w:val="28"/>
          <w:szCs w:val="28"/>
        </w:rPr>
        <w:t xml:space="preserve"> ___________</w:t>
      </w:r>
    </w:p>
    <w:p w:rsid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</w:p>
    <w:p w:rsidR="00447CE5" w:rsidRDefault="00447CE5" w:rsidP="003A3ED2">
      <w:pPr>
        <w:pStyle w:val="Style9"/>
        <w:widowControl/>
        <w:ind w:firstLine="709"/>
        <w:rPr>
          <w:rStyle w:val="FontStyle34"/>
          <w:bCs/>
          <w:sz w:val="28"/>
          <w:szCs w:val="28"/>
        </w:rPr>
      </w:pPr>
    </w:p>
    <w:p w:rsidR="003A3ED2" w:rsidRPr="003A3ED2" w:rsidRDefault="003A3ED2" w:rsidP="003A3ED2">
      <w:pPr>
        <w:pStyle w:val="Style9"/>
        <w:widowControl/>
        <w:ind w:firstLine="709"/>
        <w:rPr>
          <w:rStyle w:val="FontStyle34"/>
          <w:bCs/>
          <w:sz w:val="28"/>
          <w:szCs w:val="28"/>
        </w:rPr>
      </w:pPr>
      <w:r w:rsidRPr="003A3ED2">
        <w:rPr>
          <w:rStyle w:val="FontStyle34"/>
          <w:bCs/>
          <w:sz w:val="28"/>
          <w:szCs w:val="28"/>
        </w:rPr>
        <w:t>ПЛАН</w:t>
      </w:r>
    </w:p>
    <w:p w:rsidR="003A3ED2" w:rsidRPr="003A3ED2" w:rsidRDefault="003A3ED2" w:rsidP="003A3ED2">
      <w:pPr>
        <w:pStyle w:val="Style9"/>
        <w:widowControl/>
        <w:ind w:firstLine="709"/>
        <w:rPr>
          <w:rStyle w:val="FontStyle34"/>
          <w:bCs/>
          <w:sz w:val="28"/>
          <w:szCs w:val="28"/>
        </w:rPr>
      </w:pPr>
      <w:r w:rsidRPr="003A3ED2">
        <w:rPr>
          <w:rStyle w:val="FontStyle34"/>
          <w:bCs/>
          <w:sz w:val="28"/>
          <w:szCs w:val="28"/>
        </w:rPr>
        <w:t>мероприятий по обеспечению устойчивого развития экономики и социальной стабильности</w:t>
      </w:r>
    </w:p>
    <w:p w:rsidR="003A3ED2" w:rsidRPr="003A3ED2" w:rsidRDefault="003A3ED2" w:rsidP="003A3ED2">
      <w:pPr>
        <w:pStyle w:val="Style9"/>
        <w:widowControl/>
        <w:ind w:firstLine="709"/>
        <w:rPr>
          <w:rStyle w:val="FontStyle34"/>
          <w:bCs/>
          <w:sz w:val="28"/>
          <w:szCs w:val="28"/>
        </w:rPr>
      </w:pPr>
      <w:r w:rsidRPr="003A3ED2">
        <w:rPr>
          <w:rStyle w:val="FontStyle34"/>
          <w:bCs/>
          <w:sz w:val="28"/>
          <w:szCs w:val="28"/>
        </w:rPr>
        <w:t>муниципального района  «Магарамкентский район»</w:t>
      </w:r>
      <w:r w:rsidR="00952630">
        <w:rPr>
          <w:rStyle w:val="FontStyle34"/>
          <w:bCs/>
          <w:sz w:val="28"/>
          <w:szCs w:val="28"/>
        </w:rPr>
        <w:t xml:space="preserve"> в 2015 году</w:t>
      </w:r>
    </w:p>
    <w:p w:rsid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2410"/>
        <w:gridCol w:w="1984"/>
        <w:gridCol w:w="2268"/>
        <w:gridCol w:w="3338"/>
      </w:tblGrid>
      <w:tr w:rsidR="003A3ED2" w:rsidRPr="006D4FD0" w:rsidTr="003A3ED2">
        <w:trPr>
          <w:trHeight w:val="665"/>
        </w:trPr>
        <w:tc>
          <w:tcPr>
            <w:tcW w:w="959" w:type="dxa"/>
          </w:tcPr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№</w:t>
            </w:r>
          </w:p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proofErr w:type="spellStart"/>
            <w:proofErr w:type="gramStart"/>
            <w:r w:rsidRPr="003A3ED2">
              <w:rPr>
                <w:rStyle w:val="FontStyle34"/>
                <w:bCs/>
                <w:sz w:val="24"/>
              </w:rPr>
              <w:t>п</w:t>
            </w:r>
            <w:proofErr w:type="spellEnd"/>
            <w:proofErr w:type="gramEnd"/>
            <w:r w:rsidRPr="003A3ED2">
              <w:rPr>
                <w:rStyle w:val="FontStyle34"/>
                <w:bCs/>
                <w:sz w:val="24"/>
              </w:rPr>
              <w:t>/</w:t>
            </w:r>
            <w:proofErr w:type="spellStart"/>
            <w:r w:rsidRPr="003A3ED2">
              <w:rPr>
                <w:rStyle w:val="FontStyle34"/>
                <w:bCs/>
                <w:sz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Вид документа</w:t>
            </w:r>
          </w:p>
        </w:tc>
        <w:tc>
          <w:tcPr>
            <w:tcW w:w="1984" w:type="dxa"/>
          </w:tcPr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Срок исполнения</w:t>
            </w:r>
          </w:p>
        </w:tc>
        <w:tc>
          <w:tcPr>
            <w:tcW w:w="2268" w:type="dxa"/>
          </w:tcPr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Ответственные исполнители</w:t>
            </w:r>
          </w:p>
        </w:tc>
        <w:tc>
          <w:tcPr>
            <w:tcW w:w="3338" w:type="dxa"/>
          </w:tcPr>
          <w:p w:rsidR="003A3ED2" w:rsidRPr="003A3ED2" w:rsidRDefault="003A3ED2" w:rsidP="00FB182C">
            <w:pPr>
              <w:pStyle w:val="Style9"/>
              <w:widowControl/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Ожидаемый результат</w:t>
            </w:r>
          </w:p>
        </w:tc>
      </w:tr>
      <w:tr w:rsidR="003A3ED2" w:rsidRPr="006D4FD0" w:rsidTr="003A3ED2">
        <w:trPr>
          <w:trHeight w:val="340"/>
        </w:trPr>
        <w:tc>
          <w:tcPr>
            <w:tcW w:w="959" w:type="dxa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3827" w:type="dxa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2410" w:type="dxa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1984" w:type="dxa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2268" w:type="dxa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3338" w:type="dxa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34"/>
                <w:b w:val="0"/>
                <w:bCs/>
                <w:sz w:val="24"/>
              </w:rPr>
            </w:pPr>
          </w:p>
        </w:tc>
      </w:tr>
    </w:tbl>
    <w:p w:rsid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74"/>
        <w:gridCol w:w="3820"/>
        <w:gridCol w:w="2413"/>
        <w:gridCol w:w="1958"/>
        <w:gridCol w:w="2256"/>
        <w:gridCol w:w="3380"/>
      </w:tblGrid>
      <w:tr w:rsidR="003A3ED2" w:rsidRPr="003A3ED2" w:rsidTr="003A3ED2">
        <w:tc>
          <w:tcPr>
            <w:tcW w:w="14786" w:type="dxa"/>
            <w:gridSpan w:val="7"/>
          </w:tcPr>
          <w:p w:rsidR="003A3ED2" w:rsidRPr="003A3ED2" w:rsidRDefault="003A3ED2" w:rsidP="003A3ED2">
            <w:pPr>
              <w:pStyle w:val="Style9"/>
              <w:widowControl/>
              <w:numPr>
                <w:ilvl w:val="0"/>
                <w:numId w:val="2"/>
              </w:numPr>
              <w:rPr>
                <w:rStyle w:val="FontStyle34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Активизация экономического роста</w:t>
            </w:r>
          </w:p>
          <w:p w:rsidR="003A3ED2" w:rsidRPr="003A3ED2" w:rsidRDefault="003A3ED2" w:rsidP="00FB182C">
            <w:pPr>
              <w:pStyle w:val="Style9"/>
              <w:widowControl/>
              <w:ind w:left="1080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Cs/>
                <w:sz w:val="24"/>
              </w:rPr>
              <w:t>Стабилизационные меры</w:t>
            </w:r>
          </w:p>
        </w:tc>
      </w:tr>
      <w:tr w:rsidR="003A3ED2" w:rsidRPr="003A3ED2" w:rsidTr="003A3ED2">
        <w:tc>
          <w:tcPr>
            <w:tcW w:w="959" w:type="dxa"/>
            <w:gridSpan w:val="2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1.</w:t>
            </w:r>
          </w:p>
        </w:tc>
        <w:tc>
          <w:tcPr>
            <w:tcW w:w="3820" w:type="dxa"/>
          </w:tcPr>
          <w:p w:rsidR="003A3ED2" w:rsidRPr="003A3ED2" w:rsidRDefault="003A3ED2" w:rsidP="003A3ED2">
            <w:pPr>
              <w:pStyle w:val="Default"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Fonts w:eastAsia="Times New Roman"/>
              </w:rPr>
              <w:t xml:space="preserve">Подготовка предложений по ограничению расходов на приобретение в 2015 году служебных автомобилей и проведение капитальных ремонтов органами местного самоуправления, муниципальными учреждениями </w:t>
            </w: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Постановление Главы администрации 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 </w:t>
            </w:r>
            <w:r w:rsidRPr="003A3ED2">
              <w:rPr>
                <w:rStyle w:val="FontStyle34"/>
                <w:b w:val="0"/>
                <w:bCs/>
                <w:sz w:val="24"/>
                <w:lang w:val="en-US"/>
              </w:rPr>
              <w:t>I</w:t>
            </w:r>
            <w:r w:rsidRPr="003A3ED2">
              <w:rPr>
                <w:rStyle w:val="FontStyle34"/>
                <w:b w:val="0"/>
                <w:bCs/>
                <w:sz w:val="24"/>
              </w:rPr>
              <w:t xml:space="preserve"> квартал 2015 года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Управление финансов 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Сокращение бюджетных расходов на содержание органов управления</w:t>
            </w:r>
          </w:p>
        </w:tc>
      </w:tr>
      <w:tr w:rsidR="003A3ED2" w:rsidRPr="003A3ED2" w:rsidTr="003A3ED2">
        <w:tc>
          <w:tcPr>
            <w:tcW w:w="959" w:type="dxa"/>
            <w:gridSpan w:val="2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2.</w:t>
            </w:r>
          </w:p>
        </w:tc>
        <w:tc>
          <w:tcPr>
            <w:tcW w:w="382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Подготовка на основе опыта регионов Российской Федерации предложений по введению в муниципальном  районе частной собственности на земли сельскохозяйственного назначения и организация их широкого обсуждения </w:t>
            </w: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март 2015 года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сельского хозяйства»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МКУ «Отдел земельных отношений и землепользования» 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создание условий для повышения эффективности землепользования, инвестиционной привлекательности сельского хозяйства </w:t>
            </w:r>
          </w:p>
        </w:tc>
      </w:tr>
      <w:tr w:rsidR="003A3ED2" w:rsidRPr="003A3ED2" w:rsidTr="003A3ED2">
        <w:tc>
          <w:tcPr>
            <w:tcW w:w="959" w:type="dxa"/>
            <w:gridSpan w:val="2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lastRenderedPageBreak/>
              <w:t>3.</w:t>
            </w:r>
          </w:p>
        </w:tc>
        <w:tc>
          <w:tcPr>
            <w:tcW w:w="3820" w:type="dxa"/>
          </w:tcPr>
          <w:p w:rsidR="003A3ED2" w:rsidRPr="003A3ED2" w:rsidRDefault="003A3ED2" w:rsidP="003A3ED2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Принятие мер по вовлечению в оборот неиспользуемой пашни </w:t>
            </w: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Апрель 2015 года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земельных отношений и землепользования»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повышение эффективности использования пашни </w:t>
            </w:r>
          </w:p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3A3ED2" w:rsidRPr="003A3ED2" w:rsidTr="003A3ED2">
        <w:tc>
          <w:tcPr>
            <w:tcW w:w="959" w:type="dxa"/>
            <w:gridSpan w:val="2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4.</w:t>
            </w:r>
          </w:p>
        </w:tc>
        <w:tc>
          <w:tcPr>
            <w:tcW w:w="3820" w:type="dxa"/>
          </w:tcPr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Разработка системы мер по обеспечению более широкого доступа местных товаропроизводителей на сельскохозяйственные рынки республики </w:t>
            </w:r>
          </w:p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март 2015 года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сельского хозяйства»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создание режима наибольшего благоприятствования республиканским сельхозтоваропроизводителям путем увеличения для них торговых мест на сельскохозяйственных рынках и условий для развития здоровой конкуренции </w:t>
            </w:r>
          </w:p>
        </w:tc>
      </w:tr>
      <w:tr w:rsidR="003A3ED2" w:rsidRPr="003A3ED2" w:rsidTr="003A3ED2">
        <w:tc>
          <w:tcPr>
            <w:tcW w:w="14786" w:type="dxa"/>
            <w:gridSpan w:val="7"/>
          </w:tcPr>
          <w:p w:rsidR="003A3ED2" w:rsidRPr="003A3ED2" w:rsidRDefault="003A3ED2" w:rsidP="003A3ED2">
            <w:pPr>
              <w:pStyle w:val="Default"/>
              <w:numPr>
                <w:ilvl w:val="0"/>
                <w:numId w:val="2"/>
              </w:numPr>
              <w:jc w:val="center"/>
              <w:rPr>
                <w:rFonts w:eastAsia="Times New Roman"/>
                <w:b/>
              </w:rPr>
            </w:pPr>
            <w:r w:rsidRPr="003A3ED2">
              <w:rPr>
                <w:rFonts w:eastAsia="Times New Roman"/>
                <w:b/>
              </w:rPr>
              <w:t>Поддержка отраслей экономики</w:t>
            </w:r>
          </w:p>
          <w:p w:rsidR="003A3ED2" w:rsidRPr="003A3ED2" w:rsidRDefault="003A3ED2" w:rsidP="00FB182C">
            <w:pPr>
              <w:pStyle w:val="Default"/>
              <w:ind w:left="1080"/>
              <w:jc w:val="center"/>
              <w:rPr>
                <w:rFonts w:eastAsia="Times New Roman"/>
                <w:b/>
              </w:rPr>
            </w:pPr>
            <w:r w:rsidRPr="003A3ED2">
              <w:rPr>
                <w:rFonts w:eastAsia="Times New Roman"/>
                <w:b/>
              </w:rPr>
              <w:t>Сельское хозяйство</w:t>
            </w:r>
          </w:p>
          <w:p w:rsidR="003A3ED2" w:rsidRPr="003A3ED2" w:rsidRDefault="003A3ED2" w:rsidP="00FB182C">
            <w:pPr>
              <w:pStyle w:val="Default"/>
              <w:ind w:left="1080"/>
              <w:jc w:val="both"/>
              <w:rPr>
                <w:rFonts w:eastAsia="Times New Roman"/>
              </w:rPr>
            </w:pPr>
          </w:p>
        </w:tc>
      </w:tr>
      <w:tr w:rsidR="003A3ED2" w:rsidRPr="003A3ED2" w:rsidTr="003A3ED2">
        <w:tc>
          <w:tcPr>
            <w:tcW w:w="885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5.</w:t>
            </w:r>
          </w:p>
        </w:tc>
        <w:tc>
          <w:tcPr>
            <w:tcW w:w="3894" w:type="dxa"/>
            <w:gridSpan w:val="2"/>
          </w:tcPr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>Организация ярмарок выходного дня по реализации сельскохозяйственной продукции в</w:t>
            </w:r>
            <w:r>
              <w:rPr>
                <w:rFonts w:eastAsia="Times New Roman"/>
              </w:rPr>
              <w:t xml:space="preserve"> районе </w:t>
            </w:r>
          </w:p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ежемесячно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сельского хозяйства»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>поддержка сельхозтоваропроизводителей</w:t>
            </w:r>
            <w:r>
              <w:rPr>
                <w:rFonts w:eastAsia="Times New Roman"/>
              </w:rPr>
              <w:t xml:space="preserve"> района</w:t>
            </w:r>
            <w:r w:rsidRPr="003A3ED2">
              <w:rPr>
                <w:rFonts w:eastAsia="Times New Roman"/>
              </w:rPr>
              <w:t xml:space="preserve">, включая личные подсобные хозяйства, за счет предоставления им бесплатного доступа к объектам реализации своей продукции, снижение цен </w:t>
            </w:r>
          </w:p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3A3ED2" w:rsidRPr="003A3ED2" w:rsidTr="003A3ED2">
        <w:tc>
          <w:tcPr>
            <w:tcW w:w="14786" w:type="dxa"/>
            <w:gridSpan w:val="7"/>
          </w:tcPr>
          <w:p w:rsidR="003A3ED2" w:rsidRPr="003A3ED2" w:rsidRDefault="003A3ED2" w:rsidP="00FB182C">
            <w:pPr>
              <w:pStyle w:val="Default"/>
              <w:jc w:val="center"/>
              <w:rPr>
                <w:rFonts w:eastAsia="Times New Roman"/>
                <w:b/>
              </w:rPr>
            </w:pPr>
            <w:r w:rsidRPr="003A3ED2">
              <w:rPr>
                <w:rFonts w:eastAsia="Times New Roman"/>
                <w:b/>
              </w:rPr>
              <w:t>Жилищное строительство и жилищно-коммунальное хозяйство</w:t>
            </w:r>
          </w:p>
        </w:tc>
      </w:tr>
      <w:tr w:rsidR="003A3ED2" w:rsidRPr="003A3ED2" w:rsidTr="003A3ED2">
        <w:tc>
          <w:tcPr>
            <w:tcW w:w="885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6.</w:t>
            </w:r>
          </w:p>
        </w:tc>
        <w:tc>
          <w:tcPr>
            <w:tcW w:w="3894" w:type="dxa"/>
            <w:gridSpan w:val="2"/>
          </w:tcPr>
          <w:p w:rsidR="003A3ED2" w:rsidRPr="003A3ED2" w:rsidRDefault="003A3ED2" w:rsidP="003A3ED2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>Обеспечение участия в государственной программе РФ «Развитие промышленности и повышение ее конкурентоспособности» (подпрограмма «Автомобильная промышленность») в целях получения субсидий из федерального бюджета на закупку техники для жилищно-</w:t>
            </w:r>
            <w:r w:rsidRPr="003A3ED2">
              <w:rPr>
                <w:rFonts w:eastAsia="Times New Roman"/>
              </w:rPr>
              <w:lastRenderedPageBreak/>
              <w:t xml:space="preserve">коммунального хозяйства, работающей на газомоторном топливе </w:t>
            </w: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lastRenderedPageBreak/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ежеквартально 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архитектуры, строительства и ЖКХ»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Управление финансов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Отдел экономики 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повышение качества предоставления услуг в сфере жилищно-коммунального хозяйства </w:t>
            </w:r>
          </w:p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3A3ED2" w:rsidRPr="003A3ED2" w:rsidTr="003A3ED2">
        <w:tc>
          <w:tcPr>
            <w:tcW w:w="885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lastRenderedPageBreak/>
              <w:t>7.</w:t>
            </w:r>
          </w:p>
        </w:tc>
        <w:tc>
          <w:tcPr>
            <w:tcW w:w="3894" w:type="dxa"/>
            <w:gridSpan w:val="2"/>
          </w:tcPr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в районе </w:t>
            </w:r>
            <w:r w:rsidRPr="003A3ED2">
              <w:rPr>
                <w:rFonts w:eastAsia="Times New Roman"/>
              </w:rPr>
              <w:t xml:space="preserve">программы «Жилье для российской семьи» государственной программы РФ «Обеспечение доступным и комфортным жильем и коммунальными услугами граждан Российской Федерации» </w:t>
            </w:r>
          </w:p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ежеквартально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архитектуры, строительства и ЖКХ»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</w:p>
        </w:tc>
        <w:tc>
          <w:tcPr>
            <w:tcW w:w="3380" w:type="dxa"/>
          </w:tcPr>
          <w:p w:rsidR="003A3ED2" w:rsidRPr="0096657E" w:rsidRDefault="003A3ED2" w:rsidP="0096657E">
            <w:pPr>
              <w:pStyle w:val="Default"/>
              <w:jc w:val="both"/>
              <w:rPr>
                <w:rFonts w:eastAsia="Times New Roman"/>
              </w:rPr>
            </w:pPr>
            <w:r w:rsidRPr="0096657E">
              <w:rPr>
                <w:rFonts w:eastAsia="Times New Roman"/>
              </w:rPr>
              <w:t xml:space="preserve">строительство и ввод в эксплуатацию жилья </w:t>
            </w:r>
            <w:proofErr w:type="spellStart"/>
            <w:r w:rsidRPr="0096657E">
              <w:rPr>
                <w:rFonts w:eastAsia="Times New Roman"/>
              </w:rPr>
              <w:t>эко</w:t>
            </w:r>
            <w:r w:rsidR="0096657E" w:rsidRPr="0096657E">
              <w:rPr>
                <w:rFonts w:eastAsia="Times New Roman"/>
              </w:rPr>
              <w:t>номкласса</w:t>
            </w:r>
            <w:proofErr w:type="spellEnd"/>
            <w:r w:rsidR="0096657E" w:rsidRPr="0096657E">
              <w:rPr>
                <w:rFonts w:eastAsia="Times New Roman"/>
              </w:rPr>
              <w:t xml:space="preserve"> на земельных участках,</w:t>
            </w:r>
            <w:r w:rsidRPr="0096657E">
              <w:rPr>
                <w:rFonts w:eastAsia="Times New Roman"/>
              </w:rPr>
              <w:t xml:space="preserve"> обеспеченных социальной, коммунальной, дорожной, транспортной инфраструктурой </w:t>
            </w:r>
          </w:p>
        </w:tc>
      </w:tr>
      <w:tr w:rsidR="003A3ED2" w:rsidRPr="003A3ED2" w:rsidTr="003A3ED2">
        <w:tc>
          <w:tcPr>
            <w:tcW w:w="14786" w:type="dxa"/>
            <w:gridSpan w:val="7"/>
          </w:tcPr>
          <w:p w:rsidR="003A3ED2" w:rsidRPr="003A3ED2" w:rsidRDefault="003A3ED2" w:rsidP="003A3ED2">
            <w:pPr>
              <w:pStyle w:val="Default"/>
              <w:numPr>
                <w:ilvl w:val="0"/>
                <w:numId w:val="2"/>
              </w:numPr>
              <w:jc w:val="center"/>
              <w:rPr>
                <w:rFonts w:eastAsia="Times New Roman"/>
                <w:b/>
              </w:rPr>
            </w:pPr>
            <w:r w:rsidRPr="003A3ED2">
              <w:rPr>
                <w:rFonts w:eastAsia="Times New Roman"/>
                <w:b/>
              </w:rPr>
              <w:t>Обеспечение социальной стабильности</w:t>
            </w:r>
          </w:p>
          <w:p w:rsidR="003A3ED2" w:rsidRPr="003A3ED2" w:rsidRDefault="003A3ED2" w:rsidP="00FB182C">
            <w:pPr>
              <w:pStyle w:val="Default"/>
              <w:jc w:val="center"/>
              <w:rPr>
                <w:rFonts w:eastAsia="Times New Roman"/>
              </w:rPr>
            </w:pPr>
            <w:r w:rsidRPr="003A3ED2">
              <w:rPr>
                <w:rFonts w:eastAsia="Times New Roman"/>
                <w:b/>
              </w:rPr>
              <w:t xml:space="preserve">        Содействие изменению структуры занятости</w:t>
            </w:r>
          </w:p>
        </w:tc>
      </w:tr>
      <w:tr w:rsidR="003A3ED2" w:rsidRPr="003A3ED2" w:rsidTr="003A3ED2">
        <w:tc>
          <w:tcPr>
            <w:tcW w:w="885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8.</w:t>
            </w:r>
          </w:p>
        </w:tc>
        <w:tc>
          <w:tcPr>
            <w:tcW w:w="3894" w:type="dxa"/>
            <w:gridSpan w:val="2"/>
          </w:tcPr>
          <w:p w:rsidR="003A3ED2" w:rsidRPr="003A3ED2" w:rsidRDefault="003A3ED2" w:rsidP="003A3ED2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>Организация работы по снижению неформальной занятости в муниципальн</w:t>
            </w:r>
            <w:r>
              <w:rPr>
                <w:rFonts w:eastAsia="Times New Roman"/>
              </w:rPr>
              <w:t xml:space="preserve">ом районе </w:t>
            </w: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ежеквартально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Отдел экономики 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Управление финансов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Отдел статистики (по согласованию)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ТФОМС РД (по согласованию) 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ГУ ОПФ РФ по РД в Магарамкентском районе (по согласованию)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proofErr w:type="gramStart"/>
            <w:r w:rsidRPr="003A3ED2">
              <w:rPr>
                <w:rStyle w:val="FontStyle34"/>
                <w:b w:val="0"/>
                <w:bCs/>
                <w:sz w:val="24"/>
              </w:rPr>
              <w:t>МРИ</w:t>
            </w:r>
            <w:proofErr w:type="gramEnd"/>
            <w:r w:rsidRPr="003A3ED2">
              <w:rPr>
                <w:rStyle w:val="FontStyle34"/>
                <w:b w:val="0"/>
                <w:bCs/>
                <w:sz w:val="24"/>
              </w:rPr>
              <w:t xml:space="preserve"> ФНС России №1 по РД (по согласованию)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УФМС по РД в Магарамкентском районе (по согласованию)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ОМВД России по Магарамкентскому району (по согласованию)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снижение численности незанятого экономически активного населения на </w:t>
            </w:r>
            <w:r>
              <w:rPr>
                <w:rFonts w:eastAsia="Times New Roman"/>
              </w:rPr>
              <w:t>2,7</w:t>
            </w:r>
            <w:r w:rsidRPr="003A3ED2">
              <w:rPr>
                <w:rFonts w:eastAsia="Times New Roman"/>
              </w:rPr>
              <w:t xml:space="preserve"> тыс. человек, экономия более </w:t>
            </w:r>
            <w:r>
              <w:rPr>
                <w:rFonts w:eastAsia="Times New Roman"/>
              </w:rPr>
              <w:t>16</w:t>
            </w:r>
            <w:r w:rsidRPr="003A3ED2">
              <w:rPr>
                <w:rFonts w:eastAsia="Times New Roman"/>
              </w:rPr>
              <w:t xml:space="preserve"> млн. руб. средств республиканского бюджета РД на страхование неработающего населения</w:t>
            </w:r>
          </w:p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3A3ED2" w:rsidRPr="003A3ED2" w:rsidTr="003A3ED2">
        <w:tc>
          <w:tcPr>
            <w:tcW w:w="14786" w:type="dxa"/>
            <w:gridSpan w:val="7"/>
          </w:tcPr>
          <w:p w:rsidR="003A3ED2" w:rsidRPr="003A3ED2" w:rsidRDefault="003A3ED2" w:rsidP="00FB182C">
            <w:pPr>
              <w:pStyle w:val="Default"/>
              <w:jc w:val="center"/>
              <w:rPr>
                <w:rFonts w:eastAsia="Times New Roman"/>
                <w:b/>
              </w:rPr>
            </w:pPr>
            <w:r w:rsidRPr="003A3ED2">
              <w:rPr>
                <w:rFonts w:eastAsia="Times New Roman"/>
                <w:b/>
              </w:rPr>
              <w:t>Социальная поддержка граждан</w:t>
            </w:r>
          </w:p>
        </w:tc>
      </w:tr>
      <w:tr w:rsidR="003A3ED2" w:rsidRPr="003A3ED2" w:rsidTr="003A3ED2">
        <w:tc>
          <w:tcPr>
            <w:tcW w:w="885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lastRenderedPageBreak/>
              <w:t>9.</w:t>
            </w:r>
          </w:p>
        </w:tc>
        <w:tc>
          <w:tcPr>
            <w:tcW w:w="3894" w:type="dxa"/>
            <w:gridSpan w:val="2"/>
          </w:tcPr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Недопущение снижения достигнутого уровня доступности и качества предоставления базовых социальных услуг в сфере общего образования, медицинского и социального обслуживания, культуры, физической культуры и спорта </w:t>
            </w:r>
          </w:p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ежемесячно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 xml:space="preserve">Управление образования 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физической культуры и спорта»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МКУ «Отдел культуры»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ГБУ «</w:t>
            </w:r>
            <w:proofErr w:type="spellStart"/>
            <w:r w:rsidRPr="003A3ED2">
              <w:rPr>
                <w:rStyle w:val="FontStyle34"/>
                <w:b w:val="0"/>
                <w:bCs/>
                <w:sz w:val="24"/>
              </w:rPr>
              <w:t>Магарамкентская</w:t>
            </w:r>
            <w:proofErr w:type="spellEnd"/>
            <w:r w:rsidRPr="003A3ED2">
              <w:rPr>
                <w:rStyle w:val="FontStyle34"/>
                <w:b w:val="0"/>
                <w:bCs/>
                <w:sz w:val="24"/>
              </w:rPr>
              <w:t xml:space="preserve"> ЦРБ» (по согласованию)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повышение доступности и качества предоставления базовых социальных услуг, выполнение обязательств государства по социальной поддержке граждан </w:t>
            </w:r>
          </w:p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3A3ED2" w:rsidRPr="003A3ED2" w:rsidTr="003A3ED2">
        <w:tc>
          <w:tcPr>
            <w:tcW w:w="14786" w:type="dxa"/>
            <w:gridSpan w:val="7"/>
          </w:tcPr>
          <w:p w:rsidR="003A3ED2" w:rsidRPr="003A3ED2" w:rsidRDefault="003A3ED2" w:rsidP="00FB182C">
            <w:pPr>
              <w:pStyle w:val="Default"/>
              <w:jc w:val="center"/>
              <w:rPr>
                <w:rFonts w:eastAsia="Times New Roman"/>
              </w:rPr>
            </w:pPr>
            <w:r w:rsidRPr="003A3ED2">
              <w:rPr>
                <w:rFonts w:eastAsia="Times New Roman"/>
                <w:b/>
                <w:bCs/>
              </w:rPr>
              <w:t>IV. Мониторинг и контроль ситуации в экономике и социальной сфере</w:t>
            </w:r>
          </w:p>
        </w:tc>
      </w:tr>
      <w:tr w:rsidR="003A3ED2" w:rsidRPr="003A3ED2" w:rsidTr="003A3ED2">
        <w:tc>
          <w:tcPr>
            <w:tcW w:w="885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10.</w:t>
            </w:r>
          </w:p>
        </w:tc>
        <w:tc>
          <w:tcPr>
            <w:tcW w:w="3894" w:type="dxa"/>
            <w:gridSpan w:val="2"/>
          </w:tcPr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 xml:space="preserve">Проведение комплекса информационных мероприятий с целью разъяснения реально сложившейся экономической ситуации и мер, принимаемых органами исполнительной власти РД и местного самоуправления для обеспечения устойчивого развития экономики и социальной стабильности </w:t>
            </w:r>
          </w:p>
          <w:p w:rsidR="003A3ED2" w:rsidRPr="003A3ED2" w:rsidRDefault="003A3ED2" w:rsidP="00FB182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3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Доклад главе администрации</w:t>
            </w:r>
          </w:p>
        </w:tc>
        <w:tc>
          <w:tcPr>
            <w:tcW w:w="1958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ежемесячно</w:t>
            </w:r>
          </w:p>
        </w:tc>
        <w:tc>
          <w:tcPr>
            <w:tcW w:w="2256" w:type="dxa"/>
          </w:tcPr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Отдел кадровой политики и информационного обеспечения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Пресс служба</w:t>
            </w:r>
          </w:p>
          <w:p w:rsidR="003A3ED2" w:rsidRPr="003A3ED2" w:rsidRDefault="003A3ED2" w:rsidP="00FB182C">
            <w:pPr>
              <w:pStyle w:val="Style9"/>
              <w:widowControl/>
              <w:jc w:val="both"/>
              <w:rPr>
                <w:rStyle w:val="FontStyle34"/>
                <w:b w:val="0"/>
                <w:bCs/>
                <w:sz w:val="24"/>
              </w:rPr>
            </w:pPr>
            <w:r w:rsidRPr="003A3ED2">
              <w:rPr>
                <w:rStyle w:val="FontStyle34"/>
                <w:b w:val="0"/>
                <w:bCs/>
                <w:sz w:val="24"/>
              </w:rPr>
              <w:t>МБУ «Районная газета «Голос Самура»</w:t>
            </w:r>
          </w:p>
        </w:tc>
        <w:tc>
          <w:tcPr>
            <w:tcW w:w="3380" w:type="dxa"/>
          </w:tcPr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  <w:r w:rsidRPr="003A3ED2">
              <w:rPr>
                <w:rFonts w:eastAsia="Times New Roman"/>
              </w:rPr>
              <w:t>повышение осведомленности граждан о ситуации в р</w:t>
            </w:r>
            <w:r>
              <w:rPr>
                <w:rFonts w:eastAsia="Times New Roman"/>
              </w:rPr>
              <w:t>айон</w:t>
            </w:r>
            <w:r w:rsidRPr="003A3ED2">
              <w:rPr>
                <w:rFonts w:eastAsia="Times New Roman"/>
              </w:rPr>
              <w:t xml:space="preserve">е, проводимых мероприятиях, обеспечение роста доверия граждан к руководству </w:t>
            </w:r>
            <w:r>
              <w:rPr>
                <w:rFonts w:eastAsia="Times New Roman"/>
              </w:rPr>
              <w:t>района</w:t>
            </w:r>
          </w:p>
          <w:p w:rsidR="003A3ED2" w:rsidRPr="003A3ED2" w:rsidRDefault="003A3ED2" w:rsidP="00FB182C">
            <w:pPr>
              <w:pStyle w:val="Default"/>
              <w:jc w:val="both"/>
              <w:rPr>
                <w:rFonts w:eastAsia="Times New Roman"/>
              </w:rPr>
            </w:pPr>
          </w:p>
        </w:tc>
      </w:tr>
    </w:tbl>
    <w:p w:rsidR="003A3ED2" w:rsidRP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4"/>
        </w:rPr>
      </w:pPr>
    </w:p>
    <w:p w:rsidR="003A3ED2" w:rsidRDefault="003A3ED2" w:rsidP="003A3ED2">
      <w:pPr>
        <w:pStyle w:val="Style9"/>
        <w:widowControl/>
        <w:ind w:firstLine="709"/>
        <w:jc w:val="right"/>
        <w:rPr>
          <w:rStyle w:val="FontStyle34"/>
          <w:b w:val="0"/>
          <w:bCs/>
          <w:sz w:val="28"/>
          <w:szCs w:val="28"/>
        </w:rPr>
      </w:pPr>
    </w:p>
    <w:p w:rsidR="00587CE6" w:rsidRDefault="00587CE6"/>
    <w:sectPr w:rsidR="00587CE6" w:rsidSect="003A3ED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06"/>
    <w:multiLevelType w:val="hybridMultilevel"/>
    <w:tmpl w:val="4AFC3816"/>
    <w:lvl w:ilvl="0" w:tplc="793E9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856139"/>
    <w:multiLevelType w:val="hybridMultilevel"/>
    <w:tmpl w:val="949CB5C6"/>
    <w:lvl w:ilvl="0" w:tplc="49E8D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ED2"/>
    <w:rsid w:val="000E38A8"/>
    <w:rsid w:val="003209FE"/>
    <w:rsid w:val="003A3ED2"/>
    <w:rsid w:val="00447CE5"/>
    <w:rsid w:val="00587CE6"/>
    <w:rsid w:val="00952630"/>
    <w:rsid w:val="0096657E"/>
    <w:rsid w:val="00C800B3"/>
    <w:rsid w:val="00CF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2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A3ED2"/>
    <w:pPr>
      <w:jc w:val="center"/>
    </w:pPr>
  </w:style>
  <w:style w:type="character" w:customStyle="1" w:styleId="FontStyle34">
    <w:name w:val="Font Style34"/>
    <w:uiPriority w:val="99"/>
    <w:rsid w:val="003A3ED2"/>
    <w:rPr>
      <w:rFonts w:ascii="Times New Roman" w:hAnsi="Times New Roman"/>
      <w:b/>
      <w:sz w:val="26"/>
    </w:rPr>
  </w:style>
  <w:style w:type="paragraph" w:customStyle="1" w:styleId="Default">
    <w:name w:val="Default"/>
    <w:rsid w:val="003A3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5</cp:revision>
  <dcterms:created xsi:type="dcterms:W3CDTF">2015-03-23T07:28:00Z</dcterms:created>
  <dcterms:modified xsi:type="dcterms:W3CDTF">2015-03-23T11:55:00Z</dcterms:modified>
</cp:coreProperties>
</file>